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WHF</w:t>
      </w:r>
      <w:r>
        <w:rPr>
          <w:rFonts w:ascii="Calibri" w:hAnsi="Calibri"/>
          <w:b/>
          <w:color w:val="1A2010"/>
          <w:sz w:val="40"/>
        </w:rPr>
        <w:t xml:space="preserve">  WhiteHorse Finance, Inc.</w:t>
      </w:r>
    </w:p>
    <w:p>
      <w:pPr>
        <w:spacing w:after="120"/>
      </w:pPr>
      <w:r>
        <w:rPr>
          <w:rFonts w:ascii="Calibri" w:hAnsi="Calibri"/>
          <w:b/>
          <w:color w:val="6E8450"/>
          <w:sz w:val="18"/>
        </w:rPr>
        <w:t>DIVIDEND SLEEVE · 2026-10-14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NMS · United States</w:t>
      </w:r>
    </w:p>
    <w:p>
      <w:pPr>
        <w:spacing w:after="80"/>
      </w:pPr>
      <w:r>
        <w:rPr>
          <w:rFonts w:ascii="Calibri" w:hAnsi="Calibri"/>
          <w:b w:val="0"/>
          <w:color w:val="3A4A28"/>
          <w:sz w:val="20"/>
        </w:rPr>
        <w:t>WhiteHorse Finance is an externally managed, non-diversified business development company (BDC) that originates and invests in senior secured loans to lower middle market companies with $50M-$350M enterprise value. Managed by an affiliate of H.I.G. Capital, a $67B global alternative investment firm. Q2 2026 EPS of $0.22 on revenue of $14.37M (-23.7% YoY), with NII continuing to decline sequentially. NAV per share of $11.77 versus stock price of $7.37, representing a 37% discount. CEO Stuart Aronson has led the company since its 2012 IPO.</w:t>
      </w:r>
    </w:p>
    <w:p>
      <w:r>
        <w:rPr>
          <w:rFonts w:ascii="Calibri" w:hAnsi="Calibri"/>
          <w:b/>
          <w:color w:val="6E8450"/>
          <w:sz w:val="18"/>
        </w:rPr>
        <w:t>https://www.whitehorsefinance.com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WhiteHorse Finance has not meaningfully evolved its business model since its 2012 IPO — it remains a lower middle market BDC focused on senior secured loans with no product launches, market pivots, or business model transformations in the past five years [1]. Q2 2026 revenue declined 23.7% YoY to $14.37M, reflecting a shrinking portfolio rather than strategic evolution. AI Deployment (0/2): No AI-powered products or measurable AI-driven efficiencies are evident in WhiteHorse's operations or investment process [2]. Market Share (1/2): WhiteHorse occupies a meaningful niche in lower middle market lending ($50M-$350M enterprise value) with $2.91B deployed across 275 transactions since inception, but it is not a category leader — it competes against dozens of larger BDCs with lower cost of capital [2]. Pipeline (1/2): Management reported origination volume 40-50% higher YoY in earlier quarters, citing better credits, lower leverage, and improved documentation terms [1]. However, Q2 2026 revenue decline of 23.7% suggests originations have not yet offset portfolio runoff. R&amp;D Intensity (0/1): Not applicable — BDCs do not invest in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WhiteHorse Finance's stated objective is to generate risk-adjusted returns by originating and investing in senior secured loans to lower middle market companies [2]. This is generic financial services language interchangeable with any BDC — it describes the business mechanism, not a purpose beyond profit. Community Impact (0/2): No evidence of charitable giving, foundation activity, or community investment programs. SEC filings acknowledge ESG scrutiny but disclose no specific social impact initiatives [3]. Employee Retention (0/2): As an externally managed BDC, WhiteHorse has no direct employees — all operations are handled by WhiteHorse Capital under H.I.G. Capital. No meaningful employee retention data available [2]. Insider Buying (2/2): CEO Stuart Aronson purchased 14,000 shares in November 2025 for $96,880, a concrete signal of insider conviction during peak earnings pressure when the stock traded near 52-week lows [2]. For a micro-cap BDC CEO, this represents meaningful personal capital commitment at a time of maximum uncertainty following the Q4 2025 dividend cut.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 daily volume of 76,345 shares x $7.37 = $562,862, below the $1M minimum — Infrastructure score is automatically 0 [4]. The underlying metrics show deteriorating fundamentals: revenue declined 23.7% YoY in Q2 2026 to $14.37M, and ROE of 6.65% is well below the 15% target. Forward P/E of 7.54x is deeply discounted (would score 1.0 against 20x target), and profit margin of 26.9% exceeds the 20% target [1]. D/E of 128.3% is moderate for a BDC but above the 70% general target. The critical dividend problem persists: Q2 2026 NII of approximately $0.22/share does not cover the $0.25/share quarterly distribution (payout ratio approximately 115%), consecutive years of dividend growth is zero after the Q4 2025 cut from $0.385, and the 5-year dividend growth CAGR is negative [1]. The $85M unsecured note maturity in December 2026 creates additional refinancing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WhiteHorse Finance operates as a financially engineered vehicle optimized for distributing income to shareholders and generating management fees for H.I.G. Capital. There is no articulated Just Cause, and the externally managed BDC structure creates inherent misalignment between manager and shareholder interests. The Q4 2025 dividend cut demonstrated reactive courage, and the portfolio repositioning toward AI-resilient sectors shows incremental adaptation. But the company fundamentally plays to win each quarter's distribution rather than to build enduring capability. The 37% discount to NAV reflects the market's assessment of finite-game governance.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WhiteHorse Finance exists to generate risk-adjusted returns for shareholders through leveraged lending — there is no Just Cause beyond financial returns [2]. The company does not articulate a vision of a better future or a purpose that transcends quarterly distributions. The externally managed BDC structure is inherently a finite construct: the manager earns fees, investors receive income, and no broader mission drives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 an externally managed BDC, WhiteHorse operates through WhiteHorse Capital's investment team. CEO Stuart Aronson has led the company since its 2012 IPO, providing 14 years of leadership continuity [2]. His $96,880 insider purchase during peak pessimism suggests management alignment with shareholders. However, the external management structure inherently limits deep organizational trust — the manager collects fees regardless of NAV performance, creating a structural tension.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WhiteHorse Finance acknowledges worthy rivals or uses competitive dynamics to improve. Management commentary focuses on market positioning in the lower middle market niche — a defensive framing about avoiding competitors rather than learning from their strengths [1]. The BDC industry inherently encourages a finite win-lose mindset centered on yield competition and cost of capital.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WhiteHorse has shown strategic adaptation. The company shifted portfolio composition from mixed first/second lien to exclusively first lien senior secured loans, reducing risk profile in response to credit cycle realities [1]. More recently, the portfolio was repositioned from software-heavy exposure toward industrials and AI-resilient sectors. These are incremental adaptations within the existing model, not transformative reinvention, but demonstrate willingness to evolve.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dividend cut from $0.385/quarter to $0.25/quarter in Q4 2025 required courage — management chose to right-size distributions rather than continue over-distributing and eroding NAV [1]. Management is also exploring fee waivers and share repurchases to address the persistent NAV discount. However, Q2 2026 NII of $0.22/share still does not cover the $0.25/share distribution, suggesting the cut may not have been deep enough.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WhiteHorse Finance at $7.37 offers a deeply discounted entry point at 0.63x book value ($7.37 vs. $11.77 NAV) with a forward P/E of 7.54x and a 13.6% dividend yield on the $1.00 annualized distribution [1][4]. CEO Stuart Aronson's 14 years of leadership continuity and his November 2025 insider purchase of $96,880 signal management conviction during the trough. The H.I.G. Capital platform ($67B AUM) provides institutional deal sourcing and workout capabilities that smaller BDCs lack, and origination volume was running 40-50% above prior year in earlier quarters with improved credit quality [1]. The 10.8% weighted average portfolio yield provides adequate spread income if portfolio size can be rebuilt.</w:t>
      </w:r>
    </w:p>
    <w:p>
      <w:pPr>
        <w:spacing w:after="120"/>
      </w:pPr>
      <w:r>
        <w:rPr>
          <w:rFonts w:ascii="Calibri" w:hAnsi="Calibri"/>
          <w:b w:val="0"/>
          <w:color w:val="3A4A28"/>
          <w:sz w:val="20"/>
        </w:rPr>
        <w:t>The bear case is severe and worsening. Q2 2026 revenue declined 23.7% YoY to $14.37M, NII of approximately $0.22/share does not cover the $0.25/share distribution ($0.03/share quarterly shortfall), and the payout exceeds NII — the same destructive dynamic that forced the Q4 2025 cut from $0.385 [1]. A second dividend cut appears increasingly likely if NII does not recover. ROE of just 6.65% reflects poor return generation on deployed capital. The $85M unsecured note maturity in December 2026 creates refinancing risk when the stock trades at a 37% discount to NAV, severely limiting accretive capital options. The externally managed structure means H.I.G. Capital continues collecting base management and incentive fees regardless of shareholder outcomes. With daily dollar volume of approximately $563K — well below the $1M IOWN liquidity threshold — this stock is too illiquid for meaningful position sizing, triggering the Infrastructure floor of 0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refinancing of $85M unsecured note maturity in December 2026 could remove a significant overhang and demonstrate capital market access, potentially narrowing the 37% discount to NAV [1]</w:t>
      </w:r>
    </w:p>
    <w:p>
      <w:pPr>
        <w:spacing w:before="40" w:after="40"/>
        <w:ind w:left="283"/>
      </w:pPr>
      <w:r>
        <w:rPr>
          <w:rFonts w:ascii="Calibri" w:hAnsi="Calibri"/>
          <w:b/>
          <w:color w:val="4A6B25"/>
          <w:sz w:val="20"/>
        </w:rPr>
        <w:t xml:space="preserve">2. </w:t>
      </w:r>
      <w:r>
        <w:rPr>
          <w:rFonts w:ascii="Calibri" w:hAnsi="Calibri"/>
          <w:b w:val="0"/>
          <w:color w:val="3A4A28"/>
          <w:sz w:val="20"/>
        </w:rPr>
        <w:t>Portfolio rebuild through accelerated origination volume could restore NII above the $0.25/share distribution threshold and end the NAV-erosion cycle [1]</w:t>
      </w:r>
    </w:p>
    <w:p>
      <w:pPr>
        <w:spacing w:before="40" w:after="40"/>
        <w:ind w:left="283"/>
      </w:pPr>
      <w:r>
        <w:rPr>
          <w:rFonts w:ascii="Calibri" w:hAnsi="Calibri"/>
          <w:b/>
          <w:color w:val="4A6B25"/>
          <w:sz w:val="20"/>
        </w:rPr>
        <w:t xml:space="preserve">3. </w:t>
      </w:r>
      <w:r>
        <w:rPr>
          <w:rFonts w:ascii="Calibri" w:hAnsi="Calibri"/>
          <w:b w:val="0"/>
          <w:color w:val="3A4A28"/>
          <w:sz w:val="20"/>
        </w:rPr>
        <w:t>Management's exploration of fee waivers or structural changes to address the persistent NAV discount — even a modest base fee reduction would materially improve NII coverage and signal manager-shareholder alignment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Distribution sustainability: Q2 2026 NII of approximately $0.22/share does not cover the $0.25/share quarterly distribution, risking a second dividend cut that would further damage the stock's primary investment thesis [1]</w:t>
      </w:r>
    </w:p>
    <w:p>
      <w:pPr>
        <w:spacing w:before="40" w:after="40"/>
        <w:ind w:left="283"/>
      </w:pPr>
      <w:r>
        <w:rPr>
          <w:rFonts w:ascii="Calibri" w:hAnsi="Calibri"/>
          <w:b/>
          <w:color w:val="4A6B25"/>
          <w:sz w:val="20"/>
        </w:rPr>
        <w:t xml:space="preserve">2. </w:t>
      </w:r>
      <w:r>
        <w:rPr>
          <w:rFonts w:ascii="Calibri" w:hAnsi="Calibri"/>
          <w:b w:val="0"/>
          <w:color w:val="3A4A28"/>
          <w:sz w:val="20"/>
        </w:rPr>
        <w:t>Refinancing risk: $85M unsecured notes maturing December 2026 must be refinanced when the stock trades at 37% discount to NAV, potentially forcing unfavorable terms or dilutive equity issuance [1]</w:t>
      </w:r>
    </w:p>
    <w:p>
      <w:pPr>
        <w:spacing w:before="40" w:after="40"/>
        <w:ind w:left="283"/>
      </w:pPr>
      <w:r>
        <w:rPr>
          <w:rFonts w:ascii="Calibri" w:hAnsi="Calibri"/>
          <w:b/>
          <w:color w:val="4A6B25"/>
          <w:sz w:val="20"/>
        </w:rPr>
        <w:t xml:space="preserve">3. </w:t>
      </w:r>
      <w:r>
        <w:rPr>
          <w:rFonts w:ascii="Calibri" w:hAnsi="Calibri"/>
          <w:b w:val="0"/>
          <w:color w:val="3A4A28"/>
          <w:sz w:val="20"/>
        </w:rPr>
        <w:t>Liquidity risk: Average daily dollar volume of approximately $563K falls well below IOWN's $1M minimum threshold, making the stock effectively untradeable for institutional-size positions and triggering the Infrastructure score floor of 0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WhiteHorse Finance's core business — originating senior secured loans to lower middle market companies — involves relationship-driven lending, complex credit analysis of private companies with limited public data, and hands-on portfolio monitoring that AI cannot easily replicate [1][2]. The lower middle market segment specifically involves companies too small and idiosyncratic for algorithmic lending platforms, requiring bespoke due diligence and negotiated documentation. Management has demonstrated AI awareness by repositioning the portfolio toward industrials and away from software companies exposed to AI disruption risk. However, larger BDCs and fintech lenders deploying AI-powered credit underwriting could exert competitive pressure on origination economics [2]. AI Opportunity (0/1): WhiteHorse generates no revenue from AI-related products or services and has not disclosed AI-driven operational efficiencies.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WhiteHorse Finance Q2 2026 Earnings — EPS $0.22, Revenue $14.37M (-23.7% YoY), NII Declining, NAV $11.77/share, Distribution $0.25/share, Portfolio Yield 10.8% — Earnings Whispers, OpenCapital, MarketBeat, August 2026</w:t>
      </w:r>
    </w:p>
    <w:p>
      <w:pPr>
        <w:spacing w:before="20" w:after="20"/>
        <w:ind w:left="170"/>
      </w:pPr>
      <w:r>
        <w:rPr>
          <w:rFonts w:ascii="Calibri" w:hAnsi="Calibri"/>
          <w:b/>
          <w:color w:val="4A6B25"/>
          <w:sz w:val="15"/>
        </w:rPr>
        <w:t xml:space="preserve">2. </w:t>
      </w:r>
      <w:r>
        <w:rPr>
          <w:rFonts w:ascii="Calibri" w:hAnsi="Calibri"/>
          <w:b w:val="0"/>
          <w:color w:val="3A4A28"/>
          <w:sz w:val="17"/>
        </w:rPr>
        <w:t>WhiteHorse Finance Company and Leadership — CEO Stuart Aronson (since 2012 IPO), H.I.G. Capital External Manager, Insider Purchase $96,880 (Nov 2025), Board Addition John P. Volpe — ABL Advisor, TipRanks, 2024-2026</w:t>
      </w:r>
    </w:p>
    <w:p>
      <w:pPr>
        <w:spacing w:before="20" w:after="20"/>
        <w:ind w:left="170"/>
      </w:pPr>
      <w:r>
        <w:rPr>
          <w:rFonts w:ascii="Calibri" w:hAnsi="Calibri"/>
          <w:b/>
          <w:color w:val="4A6B25"/>
          <w:sz w:val="15"/>
        </w:rPr>
        <w:t xml:space="preserve">3. </w:t>
      </w:r>
      <w:r>
        <w:rPr>
          <w:rFonts w:ascii="Calibri" w:hAnsi="Calibri"/>
          <w:b w:val="0"/>
          <w:color w:val="3A4A28"/>
          <w:sz w:val="17"/>
        </w:rPr>
        <w:t>WhiteHorse Finance SEC Filings — 10-K FY2024, 10-Q FY2026, ESG Risk Disclosures, $85M Unsecured Note Maturity December 2026 — SEC EDGAR</w:t>
      </w:r>
    </w:p>
    <w:p>
      <w:pPr>
        <w:spacing w:before="20" w:after="20"/>
        <w:ind w:left="170"/>
      </w:pPr>
      <w:r>
        <w:rPr>
          <w:rFonts w:ascii="Calibri" w:hAnsi="Calibri"/>
          <w:b/>
          <w:color w:val="4A6B25"/>
          <w:sz w:val="15"/>
        </w:rPr>
        <w:t xml:space="preserve">4. </w:t>
      </w:r>
      <w:r>
        <w:rPr>
          <w:rFonts w:ascii="Calibri" w:hAnsi="Calibri"/>
          <w:b w:val="0"/>
          <w:color w:val="3A4A28"/>
          <w:sz w:val="17"/>
        </w:rPr>
        <w:t>WhiteHorse Finance Financial Data — Stock Price $7.37, P/E 9.45, Forward P/E 7.54, D/E 128.3%, ROE 6.65%, Profit Margin 26.9%, Avg Volume 76K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