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WLTH</w:t>
      </w:r>
      <w:r>
        <w:rPr>
          <w:rFonts w:ascii="Calibri" w:hAnsi="Calibri"/>
          <w:b/>
          <w:color w:val="1A2010"/>
          <w:sz w:val="40"/>
        </w:rPr>
        <w:t xml:space="preserve">  Wealthfront Corporation</w:t>
      </w:r>
    </w:p>
    <w:p>
      <w:pPr>
        <w:spacing w:after="120"/>
      </w:pPr>
      <w:r>
        <w:rPr>
          <w:rFonts w:ascii="Calibri" w:hAnsi="Calibri"/>
          <w:b/>
          <w:color w:val="6E8450"/>
          <w:sz w:val="18"/>
        </w:rPr>
        <w:t>GROWTH SLEEVE · 2026-09-17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Wealthfront Corporation operates an automated wealth management and personal finance platform, offering robo-advisory investment management, a high-yield cash account, automated bond ladders, and borrowing products for self-directed investors. Founded in 2008 and led by CEO David Fortunato -- who joined as the company's first CTO in 2009 and rose internally to the top job -- Wealthfront completed its IPO in 2025 after building the business almost entirely around software automation rather than human advisors. Platform assets reached a record $99 billion by fiscal Q2 2026, though revenue growth has decelerated sharply from a 43% pace in fiscal 2025 to roughly 1-7% year-over-year in recent quarters.</w:t>
      </w:r>
    </w:p>
    <w:p>
      <w:r>
        <w:rPr>
          <w:rFonts w:ascii="Calibri" w:hAnsi="Calibri"/>
          <w:b/>
          <w:color w:val="6E8450"/>
          <w:sz w:val="18"/>
        </w:rPr>
        <w:t>415 Employees · https://www.wealthfront.com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Wealthfront pioneered the robo-advisory category in 2011 and has continuously extended it into high-yield cash accounts, automated bond ladders, and portfolio-backed borrowing, scaling platform assets from $80.2B (Jan 2025) to $99B (Jul 2026) [1][2]. AI Deployment (1/2): The company's entire business model is built on software automation of financial advice, but no distinct generative-AI product or quantified AI-driven efficiency gain was identified separate from its longstanding rules-based automation engine [2]. Market Share (1/2): Wealthfront is a top-two independent robo-advisor alongside Betterment, but remains a small fraction of the trillion-dollar digital wealth management market now contested by Schwab, Fidelity, and Vanguard's in-house automated offerings [1]. Pipeline (1/2): Recent IPO proceeds and steady platform-asset growth fund continued product expansion, though the roadmap disclosed publicly is incremental rather than transformative [1]. R&amp;D Intensity (1/1): The company maintains a deliberate 1:1 engineer-to-non-engineer ratio company-wide, reflecting unusually high engineering intensity for its size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Wealthfront's mission of building 'an automated financial solution' to make sophisticated wealth management accessible without human-advisor fees is clear and business-model-integrated, but it is not meaningfully distinct from close rival Betterment's similar automation-first pitch [2]. Community Impact (0/2): No evidence of distinctive community investment, philanthropy, or financial-inclusion programs beyond standard product offerings was identified in the research window. Employee Retention (1/2): CEO Fortunato's rise from junior engineer to CEO, and the company's deliberately flat, engineering-led culture, suggest a credible internal career pipeline, though no formal tenure or turnover statistics were disclosed [2]. Insider Buying (0/2): As a company that completed its IPO in 2025, insiders remain largely subject to lock-up and vesting schedules; no notable open-market insider buying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Wealthfront's balance sheet is essentially unlevered (D/E of 2.2%, far below the 70% target) and its Forward P/E of 13.8 sits well under the 20x target, both scoring at maximum [3]. Revenue growth of roughly 7% in the most recent quarter clears the 10% target closely enough to score near-maximum, and the two-year revenue trajectory from $216.7M (FY2024) to $365.0M (FY2026) implies a strong multi-year growth base even as sequential growth has decelerated to the low single digits in some recent quarters [1]. The scores are dragged down by currently negative ROE (-15.5%) and profit margin (-19.4%), reflecting a GAAP net loss driven substantially by one-time IPO-related stock compensation charges rather than core unit economics -- fiscal Q3 2026 posted a $30.9M net income before a subsequent $133.7M GAAP net loss in Q4 tied to IPO-related charges [1]. PEG ratio is not meaningful given the company's recent transition from private to public reporting and volatile GAAP earnings, so it was excluded from the weighted calculation. Liquidity is not a constraint: average daily dollar volume of roughly $16.9M comfortably clears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Wealthfront has played a reasonably infinite game, sticking to a fully-automated, no-human-advisor model for over a decade despite competitive pressure to add hybrid human advice, and promoting from within its engineering ranks all the way to the CEO seat. The 2025 IPO after years of independence, and continued platform expansion into cash management and lending, show a company still building for the long run rather than optimizing purely for a near-term liquidity event, though its cause has not been tested through a genuine crisis.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Wealthfront's founding purpose -- replacing costly human wealth management with accessible, automated advice -- is genuine and has guided product decisions for over a decade, but the cause is not deeply distinctive from Betterment's nearly identical framing and has not been visibly tested through adversity under current leadership [2].</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The company's deliberate 1:1 engineer-to-non-engineer ratio and CEO Fortunato's own path from junior engineer to chief executive are concrete evidence of an internal culture that develops and trusts its own people rather than relying on external hires for leadership continuity [2].</w:t>
      </w:r>
    </w:p>
    <w:p>
      <w:pPr>
        <w:spacing w:before="200" w:after="40"/>
      </w:pPr>
      <w:r>
        <w:rPr>
          <w:rFonts w:ascii="Calibri" w:hAnsi="Calibri"/>
          <w:b/>
          <w:color w:val="1A2010"/>
          <w:sz w:val="22"/>
        </w:rPr>
        <w:t>Worthy Rivals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Wealthfront competes with Betterment, Schwab Intelligent Portfolios, and Vanguard Digital Advisor on product quality and pricing rather than predatory tactics, and no anti-competitive controversy was identified in the research window.</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Wealthfront expanded from pure robo-advisory into a high-yield cash account and portfolio-backed borrowing, and completed a long-delayed IPO in 2025, showing willingness to evolve its business model and capital structure, though these are extensions rather than a fundamental reinvention of the company [1][2].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Maintaining a digital-only, no-human-advisor model for 15 years despite competitors adding hybrid human advice required real conviction, and the company has continued to invest in automation even as growth has decelerated in 2026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Wealthfront enters public markets as a scaled, capital-light automated wealth platform with $99B in platform assets, a debt-free balance sheet, and a Forward P/E of just 13.8x -- a valuation that looks inexpensive if the company returns to its historical high-growth trajectory [1][3]. The company's automation-first DNA, embodied in its 1:1 engineer ratio and internally-promoted CEO, gives it credible ability to embed further AI-driven personalization into its platform ahead of slower-moving incumbents [2]. Fiscal Q3 2026 delivered $30.9M of net income on record revenue, evidence that the underlying business can be profitable once one-time, IPO-related stock compensation charges roll off [1].</w:t>
      </w:r>
    </w:p>
    <w:p>
      <w:pPr>
        <w:spacing w:after="120"/>
      </w:pPr>
      <w:r>
        <w:rPr>
          <w:rFonts w:ascii="Calibri" w:hAnsi="Calibri"/>
          <w:b w:val="0"/>
          <w:color w:val="3A4A28"/>
          <w:sz w:val="20"/>
        </w:rPr>
        <w:t>The bear case centers on decelerating growth and margin volatility immediately following the IPO: revenue growth has slowed from 43% in fiscal 2025 to roughly 1% in one recent quarter before rebounding to 7% in the next, and a $133.7M GAAP net loss in fiscal Q4 2026 -- largely IPO-related stock compensation -- muddies the near-term earnings picture and produced the -15.5% ROE and -19.4% margin reflected in current metrics [1]. Longer-term, Wealthfront's core moat of 'automated advice' is eroding as Schwab, Fidelity, Vanguard, and a wave of AI-native fintech entrants replicate rules-based portfolio management at low or no cost, pressuring the fee model that funds the platform [1][2]. The Inspire Impact Score of 0 (MIXED, no attributions on file) reflects a lack of faith-relevant screening data rather than an active concern, and does not affect the overall recommendation.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platform asset growth toward and beyond $100B, which would validate that the deceleration seen in mid-2026 quarters was transitory rather than structural [1]</w:t>
      </w:r>
    </w:p>
    <w:p>
      <w:pPr>
        <w:spacing w:before="40" w:after="40"/>
        <w:ind w:left="283"/>
      </w:pPr>
      <w:r>
        <w:rPr>
          <w:rFonts w:ascii="Calibri" w:hAnsi="Calibri"/>
          <w:b/>
          <w:color w:val="4A6B25"/>
          <w:sz w:val="20"/>
        </w:rPr>
        <w:t xml:space="preserve">2. </w:t>
      </w:r>
      <w:r>
        <w:rPr>
          <w:rFonts w:ascii="Calibri" w:hAnsi="Calibri"/>
          <w:b w:val="0"/>
          <w:color w:val="3A4A28"/>
          <w:sz w:val="20"/>
        </w:rPr>
        <w:t>Normalization of GAAP earnings after IPO-related stock compensation charges roll off, which could reveal the underlying profitability demonstrated in the $30.9M net income quarter [1]</w:t>
      </w:r>
    </w:p>
    <w:p>
      <w:pPr>
        <w:spacing w:before="40" w:after="40"/>
        <w:ind w:left="283"/>
      </w:pPr>
      <w:r>
        <w:rPr>
          <w:rFonts w:ascii="Calibri" w:hAnsi="Calibri"/>
          <w:b/>
          <w:color w:val="4A6B25"/>
          <w:sz w:val="20"/>
        </w:rPr>
        <w:t xml:space="preserve">3. </w:t>
      </w:r>
      <w:r>
        <w:rPr>
          <w:rFonts w:ascii="Calibri" w:hAnsi="Calibri"/>
          <w:b w:val="0"/>
          <w:color w:val="3A4A28"/>
          <w:sz w:val="20"/>
        </w:rPr>
        <w:t>Expansion of newer products (high-yield cash, borrowing) that diversify revenue beyond pure advisory fees and could re-accelerate top-line growth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deceleration to as low as 1% year-over-year in a recent quarter raises the question of whether Wealthfront's core addressable market of self-directed automated-advice customers is maturing faster than expected [1]</w:t>
      </w:r>
    </w:p>
    <w:p>
      <w:pPr>
        <w:spacing w:before="40" w:after="40"/>
        <w:ind w:left="283"/>
      </w:pPr>
      <w:r>
        <w:rPr>
          <w:rFonts w:ascii="Calibri" w:hAnsi="Calibri"/>
          <w:b/>
          <w:color w:val="4A6B25"/>
          <w:sz w:val="20"/>
        </w:rPr>
        <w:t xml:space="preserve">2. </w:t>
      </w:r>
      <w:r>
        <w:rPr>
          <w:rFonts w:ascii="Calibri" w:hAnsi="Calibri"/>
          <w:b w:val="0"/>
          <w:color w:val="3A4A28"/>
          <w:sz w:val="20"/>
        </w:rPr>
        <w:t>Generative AI is lowering the barrier for incumbents (Schwab, Fidelity, Vanguard) and new entrants to replicate automated financial advice, eroding the differentiation that historically justified Wealthfront's fees [1][2]</w:t>
      </w:r>
    </w:p>
    <w:p>
      <w:pPr>
        <w:spacing w:before="40" w:after="40"/>
        <w:ind w:left="283"/>
      </w:pPr>
      <w:r>
        <w:rPr>
          <w:rFonts w:ascii="Calibri" w:hAnsi="Calibri"/>
          <w:b/>
          <w:color w:val="4A6B25"/>
          <w:sz w:val="20"/>
        </w:rPr>
        <w:t xml:space="preserve">3. </w:t>
      </w:r>
      <w:r>
        <w:rPr>
          <w:rFonts w:ascii="Calibri" w:hAnsi="Calibri"/>
          <w:b w:val="0"/>
          <w:color w:val="3A4A28"/>
          <w:sz w:val="20"/>
        </w:rPr>
        <w:t>As a newly public company with a GAAP net loss in its most recent reported quarter and negative ROE/margin, near-term earnings volatility could weigh on sentiment until a track record of sustained public-company profitability is established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Wealthfront's automation-native architecture means it is not vulnerable to AI in the way labor-intensive advisors are, but it is directly exposed to AI-driven commoditization of the exact service it sells -- rules-based portfolio management and financial planning are increasingly replicable by free or low-cost LLM-powered tools from Schwab, Fidelity, Vanguard, and fintech entrants, eroding Wealthfront's fee-based differentiation over time [1][2]. Regulatory custody requirements and trust built over 15 years provide some moat, but the company's core value proposition of 'automation' is no longer a scarce capability now that generative AI has lowered the barrier to building competing automated advice products. AI Opportunity (1/1): Wealthfront's engineering-heavy, automation-first DNA positions it well to embed AI-driven personalization and customer service into its platform faster than legacy competitors, a credible opportunity even though no AI-specific revenue lift has yet been disclosed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Wealthfront Corporation Fiscal Q3 and Q4 FY2026, and Q1 FY2027 Earnings Releases -- Revenue Growth, Platform Assets, Net Income/Loss -- ir.wealthfront.com, January-August 2026</w:t>
      </w:r>
    </w:p>
    <w:p>
      <w:pPr>
        <w:spacing w:before="20" w:after="20"/>
        <w:ind w:left="170"/>
      </w:pPr>
      <w:r>
        <w:rPr>
          <w:rFonts w:ascii="Calibri" w:hAnsi="Calibri"/>
          <w:b/>
          <w:color w:val="4A6B25"/>
          <w:sz w:val="15"/>
        </w:rPr>
        <w:t xml:space="preserve">2. </w:t>
      </w:r>
      <w:r>
        <w:rPr>
          <w:rFonts w:ascii="Calibri" w:hAnsi="Calibri"/>
          <w:b w:val="0"/>
          <w:color w:val="3A4A28"/>
          <w:sz w:val="17"/>
        </w:rPr>
        <w:t>David Fortunato, CEO of Wealthfront -- Engineering Culture, Automation Strategy, Platform Growth -- Fintech Leaders Substack, 2026</w:t>
      </w:r>
    </w:p>
    <w:p>
      <w:pPr>
        <w:spacing w:before="20" w:after="20"/>
        <w:ind w:left="170"/>
      </w:pPr>
      <w:r>
        <w:rPr>
          <w:rFonts w:ascii="Calibri" w:hAnsi="Calibri"/>
          <w:b/>
          <w:color w:val="4A6B25"/>
          <w:sz w:val="15"/>
        </w:rPr>
        <w:t xml:space="preserve">3. </w:t>
      </w:r>
      <w:r>
        <w:rPr>
          <w:rFonts w:ascii="Calibri" w:hAnsi="Calibri"/>
          <w:b w:val="0"/>
          <w:color w:val="3A4A28"/>
          <w:sz w:val="17"/>
        </w:rPr>
        <w:t>Wealthfront Socially Responsible Investing and Company Overview -- wealthfront.com,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yfinance -- WLTH Key Statistics (Forward P/E 13.79, D/E 2.2%, ROE -15.5%, Profit Margin -19.42%),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