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WM</w:t>
      </w:r>
      <w:r>
        <w:rPr>
          <w:rFonts w:ascii="Calibri" w:hAnsi="Calibri"/>
          <w:b/>
          <w:color w:val="1A2010"/>
          <w:sz w:val="40"/>
        </w:rPr>
        <w:t xml:space="preserve">  Waste Management,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39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71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Waste Management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WM is North America's largest provider of comprehensive environmental solutions, operating collection, transfer, landfill disposal, recycling, and renewable natural gas (RNG) assets, plus the WM Healthcare Solutions medical-waste business acquired with Stericycle in 2024. 2025 revenue reached $25.2B, and Q2 2026 revenue was $6.68B (+4.0% YoY) with a 30.9% adjusted operating EBITDA margin. CEO Jim Fish will retire and hand the role to President John Morris effective January 4, 2027. Headquartered in Houston, Texas.</w:t>
      </w:r>
    </w:p>
    <w:p>
      <w:r>
        <w:rPr>
          <w:rFonts w:ascii="Calibri" w:hAnsi="Calibri"/>
          <w:b/>
          <w:color w:val="6E8450"/>
          <w:sz w:val="18"/>
        </w:rPr>
        <w:t>60,500 Employees · https://www.wm.com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(2/3): Over five years WM has added two genuinely new revenue streams — the $7.2B Stericycle acquisition created a medical-waste vertical (WM Healthcare Solutions), and a landfill-gas-to-RNG build-out turned methane into a sustainability EBITDA line — but the collection-and-landfill core still generates the bulk of profit, so this is a significant extension rather than a company-redefining pivot [1][6]. AI Deployment (2/2): WM is deploying AI-guided optical and robotic sorting in its automated MRFs as part of a $1.6B recycling modernization through 2026, and management has quantified automation's labor impact — roughly 5,000 fewer roles to be absorbed through attrition as automated trucks and sorting scale [3]. Market Share (2/2): WM is the largest solid-waste company in North America by revenue and disposal capacity, and its landfill network — the industry's scarcest asset — gives it durable pricing power reflected in the 40bps EBITDA-margin expansion to 30.9% in Q2 2026 despite soft volumes [1]. Product Pipeline (1/2): Named sustainability projects (four growth projects completed in 2026, additional RNG plants coming online) and the $50M Stericycle synergy target give partial visibility, but these are capacity additions rather than next-generation products with revenue timelines [1][5]. R&amp;D Intensity (0/1): WM does not disclose R&amp;D as a meaningful line item; no evidence of above-peer R&amp;D intensity was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(3/4): WM's mission to 'maximize resource value while minimizing impact so that both our economy and our environment can thrive,' carried by the 'Always Working for a Sustainable Tomorrow' promise, is specific and has been backed by real capital — RNG plants, recycling automation, and a published annual sustainability report (2026 edition released July 2026) [4][5]. Community Impact (2/2): WM operates nearly 70 Wildlife Habitat Council-certified sites covering roughly 13,500 acres and runs a dedicated charitable giving program for local nonprofits in its operating communities — distinctive, asset-based community investment beyond generic matching [5]. Employee Retention (0/2): Jim Fish's 'people first' philosophy is well documented and the CEO succession to 27-year insider John Morris shows leadership continuity, but no company-wide tenure or voluntary-turnover data was found, and automation is reducing roughly 5,000 roles [2][3]. Insider Buying (0/2): Insiders were net sellers over the past year, including roughly $10M of sales by CEO Jim Fish near all-time highs, with no meaningful open-market purchases reported [9].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8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409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102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Growth-sleeve stock (1.87% yield is below the 2% Dividend threshold) [7]. D/E of 235% — elevated after the debt-funded Stericycle deal — scores only 0.28; ROE of 29.8% (1.0, 2x weight), YoY revenue growth of 4.0% (0.80), 5-year revenue CAGR of ~10.6% from $15.2B in 2020 to $25.2B in 2025 (1.0, 2x), forward P/E of 22.4 (0.94), profit margin of 11.1% (0.56), and forward PEG of 1.85 (0.58, 2x) produce a weighted 7.73/10, rounded to 8 [1][7]. Liquidity is ample at ~$411M of daily dollar volume (2.01M shares at $204), and free cash flow rose 34.5% to $1.10B in Q2 2026 with full-year FCF guided to $3.75-3.85B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Through Sinek's lens WM is a mixed but leaning-infinite player: it has a genuine stewardship cause and has repeatedly spent heavily for the long term (Stericycle, RNG, recycling automation), and it is executing an orderly, insider-led CEO succession. What holds it back is a cause still more commonly expressed in operating metrics than as a vision people sacrifice for, an organizational trust story asserted by leadership more than evidenced by data, and a competitive posture built on landfill scarcity rather than learning from rivals.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(2/3): 'Always Working for a Sustainable Tomorrow' is service-oriented and idealistic, and strategic choices — converting landfill methane into RNG, modernizing recycling, entering medical waste — trace back to it [4][5]. It has not yet been tested by a defining crisis or a CEO transition (the first comes in January 2027), so it stops short of being the company's proven competitive advantage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Fish's people-first approach and the decision to absorb automation-driven role reductions through attrition and retraining rather than mass layoffs signal care for frontline workers, and the internal succession to John Morris preserves continuity [2][3]. Without independent tenure or turnover data, this rates as adequate rather than demonstrably high trust.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Management's competitive language centers on pricing power, landfill scarcity, and margin expansion versus Republic Services and Waste Connections rather than on learning from rivals' strengths; no evidence was found of WM publicly framing competitors as catalysts for self-improvement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WM has evolved from hauler to environmental-solutions provider by adding RNG, advanced recycling, and healthcare waste, but it has not abandoned or cannibalized its landfill-centric core — the changes are meaningful adjacencies rather than a Fujifilm-style reinvention [1][6].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Leadership committed $7.2B to Stericycle and lifted leverage to 235% D/E to diversify, while simultaneously funding a $1.6B recycling and RNG program through a period when full-year revenue guidance was narrowed for softer volumes — a pattern of accepting near-term balance-sheet and earnings drag for long-term capability [1][3][6].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WM is a toll road on an essential, AI-proof service: Q2 2026 revenue rose 4.0% to $6.68B, adjusted operating EBITDA grew 5.5% to $2.07B with margin up 40bps to 30.9%, and free cash flow jumped 34.5% to $1.10B, with full-year FCF guided to $3.75-3.85B and the EBITDA-margin outlook raised to 31.0-31.2% [1]. The Stericycle healthcare vertical, RNG plants, and automated recycling add growth and margin levers on top of price-led core growth, and a 23-year dividend record with ~8.6% five-year dividend CAGR rewards patient owners [1][6][7].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valuation and leverage: at ~22x forward earnings and a 1.85 PEG for a business growing revenue ~4% (2026 revenue guide of $26.3-26.5B implies roughly flat-to-low growth after acquisitions anniversary), there is little margin for error, and D/E of 235% limits flexibility until deleveraging completes [1][7]. Collection volumes are soft, RNG economics depend on volatile environmental-credit (RIN) prices, and the January 2027 CEO transition introduces execution risk on Stericycle integration [2]. Sustainalytics rates WM's ESG risk at 18 with a moderate controversy level, so environmental-compliance headlines around landfills remain a recurring, if manageable, overhang [8].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Full capture of the $50M Stericycle cross-sell synergy target and healthcare-segment margin expansion toward the 19%+ range, supporting the raised 31.0-31.2% 2026 EBITDA margin guide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New RNG plants and automated MRFs from the $1.6B sustainability program reaching full run-rate in 2026-2027, adding high-margin sustainability EBITDA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Deleveraging back to target range on $3.75-3.85B annual FCF, reopening capacity for buybacks and dividend increases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Leverage of ~235% D/E following the $7.2B Stericycle deal leaves less room if volumes or RIN prices weaken further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Premium valuation (~22x forward P/E, PEG 1.85) on mid-single-digit revenue growth exposes the stock to multiple compression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CEO transition from Jim Fish to John Morris in January 2027 coincides with ongoing Stericycle integration and automation-driven workforce reductions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9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4961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5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WM's business — physically collecting, hauling, and landfilling waste under local permits and franchise agreements — cannot be substituted by software; analysts frame AI exclusively as a cost lever (route optimization, robotic sorting, automated trucks), and the irreplaceable, permit-constrained landfill network is the moat [1][3]. AI actually widens WM's advantage versus smaller haulers, since only a scaled operator can fund a $1.6B automation program. AI Opportunity (0/1): WM generates no quantifiable revenue from AI products or services; its AI use is internal efficiency, so the tiebreaker point is not earned.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39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Sales Practices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Safety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WM Q2 2026 Earnings Release (Form 8-K Ex. 99.1) and earnings coverage, Yahoo Finance/TipRanks,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Jim Fish to Retire from WM; John Morris Named as Next CEO — investors.wm.com / Waste Today,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Inside WM's Plan to Automate the Future of Trash — Fortune Leadership Next podcast; WebProNews on WM's $1.6B recycling investment,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WM Mission, Vision and 'Always Working for a Sustainable Tomorrow' — wm.com,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WM 2025 Sustainability Report and 2026 Sustainability Report release — sustainability.wm.com, July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WM Completes Acquisition of Stericycle for $7.2 Billion — investors.wm.com, November 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Yahoo Finance — WM key statistics and dividend history,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Sustainalytics ESG Risk Rating for WM (risk score 18, moderate controversy level) — Yahoo Finance,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9. </w:t>
      </w:r>
      <w:r>
        <w:rPr>
          <w:rFonts w:ascii="Calibri" w:hAnsi="Calibri"/>
          <w:b w:val="0"/>
          <w:color w:val="3A4A28"/>
          <w:sz w:val="17"/>
        </w:rPr>
        <w:t>Waste Management insider transactions summary — Yahoo Finance/Simply Wall St,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