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WPM</w:t>
      </w:r>
      <w:r>
        <w:rPr>
          <w:rFonts w:ascii="Calibri" w:hAnsi="Calibri"/>
          <w:b/>
          <w:color w:val="1A2010"/>
          <w:sz w:val="40"/>
        </w:rPr>
        <w:t xml:space="preserve">  Wheaton Precious Metals Corp.</w:t>
      </w:r>
    </w:p>
    <w:p>
      <w:pPr>
        <w:spacing w:after="120"/>
      </w:pPr>
      <w:r>
        <w:rPr>
          <w:rFonts w:ascii="Calibri" w:hAnsi="Calibri"/>
          <w:b/>
          <w:color w:val="6E8450"/>
          <w:sz w:val="18"/>
        </w:rPr>
        <w:t>GROWTH SLEEVE · 2026-09-08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Gold &amp; Silver Streaming · NYSE · Canada</w:t>
      </w:r>
    </w:p>
    <w:p>
      <w:pPr>
        <w:spacing w:after="80"/>
      </w:pPr>
      <w:r>
        <w:rPr>
          <w:rFonts w:ascii="Calibri" w:hAnsi="Calibri"/>
          <w:b w:val="0"/>
          <w:color w:val="3A4A28"/>
          <w:sz w:val="20"/>
        </w:rPr>
        <w:t>Wheaton Precious Metals is the world's largest precious metals streaming company, providing upfront capital to mining companies in exchange for the right to purchase a percentage of future gold, silver, palladium, and cobalt production at predetermined prices far below market. With zero debt, ~84% gross margins, and 25+ streaming agreements across premier global mines, WPM operates an asset-light model that generates exceptional cash flow when metal prices rise. H1 2026 was a record period: $1.8B revenue, $1.1B net earnings, and $1.4B operating cash flow, driven by gold averaging $4,452/oz (+34% YoY) and silver at $73.41/oz (+116% YoY). The $4.3B Antamina silver stream — the largest in streaming industry history — significantly expanded silver exposure. New CEO Haytham Hodaly succeeded co-founder Randy Smallwood in March 2026. Market cap is approximately $70.4B.</w:t>
      </w:r>
    </w:p>
    <w:p>
      <w:r>
        <w:rPr>
          <w:rFonts w:ascii="Calibri" w:hAnsi="Calibri"/>
          <w:b/>
          <w:color w:val="6E8450"/>
          <w:sz w:val="18"/>
        </w:rPr>
        <w:t>50 Employees · https://www.wheatonpm.com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Wheaton's streaming model has been incrementally extended through progressively larger deals — Salobo, Voisey's Bay cobalt, and now the record $4.3B Antamina silver stream [2] — but the fundamental business model of providing upfront capital in exchange for discounted metal offtake remains unchanged since the company's founding. The Antamina deal represents impressive scale extension, not business model innovation. AI Deployment (0/2): No AI-powered products or AI-driven cost savings. Streaming companies operate with minimal operational infrastructure (~50 employees) and do not deploy AI in their core business processes of deal origination and portfolio management. Market Share (2/2): Wheaton Precious Metals is the world's largest precious metals streaming company by market capitalization ($70.4B) and portfolio breadth (25+ streaming agreements) [1][2]. The company defines the category alongside Franco-Nevada and Royal Gold, with the Antamina deal further extending its leadership position. Product Pipeline (1/2): The post-Antamina pipeline benefits from new CEO Haytham Hodaly's $11B+ deal-making track record, providing confidence in future transaction capacity [3]. However, specific next deals with timing and revenue impact are not publicly disclosed, consistent with the confidential nature of streaming negotiations. R&amp;D Intensity (0/1): Streaming companies do not have traditional R&amp;D functions; the business involves financial structuring and deal origination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Wheaton's purpose centers on 'creating sustainable value through streaming' with a commitment to responsible precious metals sourcing and community impact [4]. This is clear — it identifies the business model and a commitment to sustainability — but not distinctive enough to separate from any resource-sector financial company. The purpose doesn't articulate a vision of a better future beyond the company's own financial success. Community Impact (2/2): Wheaton's Community Investment Program — the first of its kind in the streaming industry — directed $9.4M to more than 150 community and innovation initiatives [4]. The company has 100% ESG screening on new streaming agreements, received Corporate Knights 100 Most Sustainable Corporations recognition, and earned an MSCI AAA ESG rating, the highest in the sector [4]. This represents distinctive, measurable community investment well beyond standard corporate philanthropy. Employee Retention (1/2): With approximately 50 employees, Wheaton operates one of the leanest teams in the mining sector. Co-founder Randy Smallwood led the company for over a decade before an orderly succession to Haytham Hodaly in March 2026 [3]. The small team size and leadership continuity suggest strong cultural cohesion, but no specific retention data is available. Insider Buying (0/2): No insider buying in the past three years, with $4.52M in insider selling. The net selling pattern does not demonstrate insider conviction through personal capital deployment.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metrics (dividend yield of ~0.52% disqualifies Dividend classification; PEG excluded as unavailable). Wheaton's financial profile is exceptional: zero debt (D/E of 0%, perfect score) reflects the streaming model's structural capital efficiency — the company has no mines to finance, no workers to pay, and no operational capex [5]. Profit margin of 54.72% scores perfectly, reflecting the massive spread between locked-in purchase prices and market metal prices [5]. Revenue growth YoY of approximately 88% scores perfectly, driven by gold at $4,452/oz and silver at $73.41/oz [1][2]. The 5-year revenue CAGR of 9.8% scores 0.987, approaching the 10% target [5]. ROE of 13.05% is the primary drag, scoring 0.87 against the 15% target with 2x growth weight — depressed by the company's growing equity base from retained earnings [5]. Forward P/E of 30.49 scores 0.738, reflecting a premium valuation above the 20 target that is typical for streaming companies [5]. The stock easily clears the liquidity floor at ~$344M daily dollar volume. Note: revenue growth is heavily commodity-price-dependent; the 5-year CAGR of 9.8% better reflects sustainable underlying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Wheaton Precious Metals occupies a middle ground in infinite game thinking. The streaming model itself is inherently long-term — contracts span decades and the company's success depends on patient capital deployment rather than quarterly optimization. Randy Smallwood's decade-plus tenure built a culture of disciplined deal-making and pioneered community investment in the streaming industry [3][4]. However, the company lacks a transformative Just Cause beyond financial value creation, and the CEO transition to Haytham Hodaly, while orderly, has not yet been tested through adversity. Wheaton plays to keep playing but frames competition around deal terms and portfolio quality rather than a vision of a better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Wheaton's purpose — creating sustainable value through responsible precious metals streaming — exists but is financially oriented [4]. The Community Investment Program shows genuine commitment beyond profit, and ESG screening of 100% of new deals demonstrates institutional values. But the company's Just Cause ultimately centers on generating superior returns for shareholders through the streaming model. This is a mission, not a Just Cause in Sinek's terms — it describes a business strategy rather than a vision of a future state worth sacrificing for.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approximately 50 employees, Wheaton's organizational trust is likely strong by default — small teams create natural accountability and transparency. Smallwood's decade-plus tenure and the orderly succession to Hodaly, who was promoted internally from President, demonstrate leadership stability and institutional maturity [3]. No evidence of exceptional or inadequate trust; the small team and long leadership tenures suggest a functional, cohesive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Wheaton acknowledges peers like Franco-Nevada and Royal Gold as worthy competitors whose strengths inform Wheaton's deal-making approach and strategic priorities [3]. Management commentary focuses on the quality of their own portfolio and deal discipline rather than competitor destruction. The streaming industry is small enough that competitors' success validates the model for all players, and Wheaton's leadership consistently frames competitive dynamics as motivation to improve portfolio quality and community impact.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Wheaton has evolved from a silver-focused streaming company (formerly Silver Wheaton) to a diversified precious metals and cobalt streaming platform. The $4.3B Antamina silver stream significantly shifts the portfolio's metal mix, increasing silver exposure and creating a more balanced revenue base [2]. The expansion into cobalt streaming (Voisey's Bay) demonstrated willingness to enter new commodity categories. These are meaningful strategic expansions within the streaming model, but not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$4.3B Antamina silver stream represents the largest transaction in streaming industry history — a bold long-term bet that significantly reshapes the portfolio [2]. Smallwood consistently invested in deal capacity through commodity downturns rather than retreating. However, streaming companies face relatively low-risk decisions compared to operating miners — the model is structurally designed to minimize downside risk through fixed purchase prices and diversified counterparty exposure.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Wheaton Precious Metals is the premier leveraged play on precious metals in a historic bull market — H1 2026 delivered record revenue of $1.8B, $1.1B net earnings, and $1.4B operating cash flow as gold averaged $4,452/oz and silver reached $73.41/oz [1][2]. The zero-debt balance sheet, 84% gross margin, and 55% net profit margin generate exceptional cash returns with no balance sheet risk [5]. The transformative $4.3B Antamina silver stream adds significant production at locked-in low costs, positioning WPM to benefit disproportionately if silver continues its breakout [2]. New CEO Haytham Hodaly's $11B+ deal-making track record suggests the acquisition pipeline remains robust [3]. MSCI AAA ESG rating and Corporate Knights Top 100 recognition make WPM one of the highest-rated ESG investments in the mining sector [4].</w:t>
      </w:r>
    </w:p>
    <w:p>
      <w:pPr>
        <w:spacing w:after="120"/>
      </w:pPr>
      <w:r>
        <w:rPr>
          <w:rFonts w:ascii="Calibri" w:hAnsi="Calibri"/>
          <w:b w:val="0"/>
          <w:color w:val="3A4A28"/>
          <w:sz w:val="20"/>
        </w:rPr>
        <w:t>WPM's entire thesis is a bet on sustained elevated precious metals prices — gold at $4,452/oz (+34% YoY) and silver at $73.41/oz (+116% YoY) are at historically extreme levels, and any reversion to multi-year averages would compress revenue, earnings, and the stock price by 30-50% [1]. The forward P/E of 30.49 prices in continued strength, offering limited margin of safety if commodities correct [5]. ROE of 13.05% is below the 15% target, and the growing equity base from retained earnings dilutes returns on capital [5]. The CEO transition from founder Smallwood to Hodaly is untested through a commodity downturn, and Hodaly's deal-making orientation may lead to elevated deal pace at increasingly expensive terms as streaming competition for quality assets intensifies. With a dividend yield of just 0.52%, there is minimal income return to cushion price volatility [6]. The Inspire Impact Score of 0 (MIXED) is neutral for faith-based investors due to limited coverage of the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and silver prices at all-time highs with continued macro tailwinds — geopolitical uncertainty, central bank gold purchases, AI-driven silver demand in electronics and solar, and inflation hedging could sustain the precious metals bull market driving 85-92% revenue growth [1][2]</w:t>
      </w:r>
    </w:p>
    <w:p>
      <w:pPr>
        <w:spacing w:before="40" w:after="40"/>
        <w:ind w:left="283"/>
      </w:pPr>
      <w:r>
        <w:rPr>
          <w:rFonts w:ascii="Calibri" w:hAnsi="Calibri"/>
          <w:b/>
          <w:color w:val="4A6B25"/>
          <w:sz w:val="20"/>
        </w:rPr>
        <w:t xml:space="preserve">2. </w:t>
      </w:r>
      <w:r>
        <w:rPr>
          <w:rFonts w:ascii="Calibri" w:hAnsi="Calibri"/>
          <w:b w:val="0"/>
          <w:color w:val="3A4A28"/>
          <w:sz w:val="20"/>
        </w:rPr>
        <w:t>$4.3B Antamina silver stream begins contributing full production at locked-in costs far below $73/oz market prices, projected to add significant silver-equivalent ounces annually and enhance per-GEO margins while diversifying the portfolio [2]</w:t>
      </w:r>
    </w:p>
    <w:p>
      <w:pPr>
        <w:spacing w:before="40" w:after="40"/>
        <w:ind w:left="283"/>
      </w:pPr>
      <w:r>
        <w:rPr>
          <w:rFonts w:ascii="Calibri" w:hAnsi="Calibri"/>
          <w:b/>
          <w:color w:val="4A6B25"/>
          <w:sz w:val="20"/>
        </w:rPr>
        <w:t xml:space="preserve">3. </w:t>
      </w:r>
      <w:r>
        <w:rPr>
          <w:rFonts w:ascii="Calibri" w:hAnsi="Calibri"/>
          <w:b w:val="0"/>
          <w:color w:val="3A4A28"/>
          <w:sz w:val="20"/>
        </w:rPr>
        <w:t>New CEO Haytham Hodaly's $11B+ deal pipeline and mining engineering background positions WPM to execute additional accretive streaming agreements while maintaining deal discipline amid a favorable deal-making environment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Precious metals price reversion from historically extreme levels — gold and silver are at or near all-time highs, and a mean reversion of 20-30% would immediately compress revenue and earnings proportionally, with the stock's 30.49x forward P/E leaving no valuation buffer [1][5]</w:t>
      </w:r>
    </w:p>
    <w:p>
      <w:pPr>
        <w:spacing w:before="40" w:after="40"/>
        <w:ind w:left="283"/>
      </w:pPr>
      <w:r>
        <w:rPr>
          <w:rFonts w:ascii="Calibri" w:hAnsi="Calibri"/>
          <w:b/>
          <w:color w:val="4A6B25"/>
          <w:sz w:val="20"/>
        </w:rPr>
        <w:t xml:space="preserve">2. </w:t>
      </w:r>
      <w:r>
        <w:rPr>
          <w:rFonts w:ascii="Calibri" w:hAnsi="Calibri"/>
          <w:b w:val="0"/>
          <w:color w:val="3A4A28"/>
          <w:sz w:val="20"/>
        </w:rPr>
        <w:t>CEO transition risk as founder Randy Smallwood steps down after decade-plus leadership, with Haytham Hodaly untested through a commodity downcycle — the risk is that deal pace accelerates at progressively worse terms as competition for streaming-quality assets intensifies [3]</w:t>
      </w:r>
    </w:p>
    <w:p>
      <w:pPr>
        <w:spacing w:before="40" w:after="40"/>
        <w:ind w:left="283"/>
      </w:pPr>
      <w:r>
        <w:rPr>
          <w:rFonts w:ascii="Calibri" w:hAnsi="Calibri"/>
          <w:b/>
          <w:color w:val="4A6B25"/>
          <w:sz w:val="20"/>
        </w:rPr>
        <w:t xml:space="preserve">3. </w:t>
      </w:r>
      <w:r>
        <w:rPr>
          <w:rFonts w:ascii="Calibri" w:hAnsi="Calibri"/>
          <w:b w:val="0"/>
          <w:color w:val="3A4A28"/>
          <w:sz w:val="20"/>
        </w:rPr>
        <w:t>Concentration risk from counterparty mine operations — Wheaton's revenue depends entirely on third-party miners executing safely and efficiently, with any environmental incident, labor dispute, or political disruption at partner mines (particularly in Latin America) directly impacting production volumes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Wheaton's business is structurally immune to AI disruption — the company's value derives from long-term contractual rights to physical precious metals production from mines that require physical extraction, processing, and refining [1][2]. AI cannot substitute for gold or silver mining, and the streaming contracts are legally binding multi-decade agreements that no technology can displace. Precious metals demand may actually increase from AI infrastructure buildout — silver is essential in electronics and solar panels powering AI data centers, while gold serves as an inflation hedge during AI-driven economic disruption. The asset-light streaming model with zero operational mines means there is essentially no operational process for AI to displace. The only theoretical risk is AI-enhanced competitor deal analysis reducing Wheaton's structuring advantage, but the relationship-driven nature of streaming deal origination limits this. AI Opportunity (0/1): Wheaton does not generate revenue from AI products or services. The company is a financial intermediary in the mining sector, not a technology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Wheaton Precious Metals Q1 2026 Earnings — Record revenue $901M (+92% YoY), net earnings up 129%, record operating cash flow, gold $4,452/oz, silver $73.41/oz, prnewswire.com, May 2026</w:t>
      </w:r>
    </w:p>
    <w:p>
      <w:pPr>
        <w:spacing w:before="20" w:after="20"/>
        <w:ind w:left="170"/>
      </w:pPr>
      <w:r>
        <w:rPr>
          <w:rFonts w:ascii="Calibri" w:hAnsi="Calibri"/>
          <w:b/>
          <w:color w:val="4A6B25"/>
          <w:sz w:val="15"/>
        </w:rPr>
        <w:t xml:space="preserve">2. </w:t>
      </w:r>
      <w:r>
        <w:rPr>
          <w:rFonts w:ascii="Calibri" w:hAnsi="Calibri"/>
          <w:b w:val="0"/>
          <w:color w:val="3A4A28"/>
          <w:sz w:val="17"/>
        </w:rPr>
        <w:t>Wheaton Precious Metals Q2 2026 Earnings — Revenue $929M (+85% YoY), $4.3B Antamina silver stream closed (largest in streaming history), record cash operating margin $4,279/GEO,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Wheaton Precious Metals Leadership Evolution — CEO Randy Smallwood succeeded by Haytham Hodaly (President, mining engineer, former RBC analyst, $11B+ streaming transaction track record), prnewswire.com, March 2026</w:t>
      </w:r>
    </w:p>
    <w:p>
      <w:pPr>
        <w:spacing w:before="20" w:after="20"/>
        <w:ind w:left="170"/>
      </w:pPr>
      <w:r>
        <w:rPr>
          <w:rFonts w:ascii="Calibri" w:hAnsi="Calibri"/>
          <w:b/>
          <w:color w:val="4A6B25"/>
          <w:sz w:val="15"/>
        </w:rPr>
        <w:t xml:space="preserve">4. </w:t>
      </w:r>
      <w:r>
        <w:rPr>
          <w:rFonts w:ascii="Calibri" w:hAnsi="Calibri"/>
          <w:b w:val="0"/>
          <w:color w:val="3A4A28"/>
          <w:sz w:val="17"/>
        </w:rPr>
        <w:t>Wheaton Precious Metals Sustainability — ESG Industry Top-Rated, MSCI AAA, Corporate Knights 100 Most Sustainable, Community Investment Program ($9.4M to 150+ initiatives), 100% ESG-screened new agreements, wheatonpm.com, 2024-2025</w:t>
      </w:r>
    </w:p>
    <w:p>
      <w:pPr>
        <w:spacing w:before="20" w:after="20"/>
        <w:ind w:left="170"/>
      </w:pPr>
      <w:r>
        <w:rPr>
          <w:rFonts w:ascii="Calibri" w:hAnsi="Calibri"/>
          <w:b/>
          <w:color w:val="4A6B25"/>
          <w:sz w:val="15"/>
        </w:rPr>
        <w:t xml:space="preserve">5. </w:t>
      </w:r>
      <w:r>
        <w:rPr>
          <w:rFonts w:ascii="Calibri" w:hAnsi="Calibri"/>
          <w:b w:val="0"/>
          <w:color w:val="3A4A28"/>
          <w:sz w:val="17"/>
        </w:rPr>
        <w:t>StockAnalysis/GuruFocus — WPM key statistics: stock price $155.01, Forward P/E 30.49, D/E 0%, ROE 13.05%, profit margin 54.72%, avg volume 2.22M, 5yr revenue CAGR 9.8%,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Wheaton Precious Metals Dividend — $0.195/quarter (18% YoY increase), yield ~0.52%, 10 consecutive years of increases in last 15 years, StockAnalysis,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