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WRN</w:t>
      </w:r>
      <w:r>
        <w:rPr>
          <w:rFonts w:ascii="Calibri" w:hAnsi="Calibri"/>
          <w:b/>
          <w:color w:val="1A2010"/>
          <w:sz w:val="40"/>
        </w:rPr>
        <w:t xml:space="preserve">  Western Copper and Gold Corporation</w:t>
      </w:r>
    </w:p>
    <w:p>
      <w:pPr>
        <w:spacing w:after="120"/>
      </w:pPr>
      <w:r>
        <w:rPr>
          <w:rFonts w:ascii="Calibri" w:hAnsi="Calibri"/>
          <w:b/>
          <w:color w:val="6E8450"/>
          <w:sz w:val="18"/>
        </w:rPr>
        <w:t>GROWTH SLEEVE · 2026-09-13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Copper · NYSE American · Canada</w:t>
      </w:r>
    </w:p>
    <w:p>
      <w:pPr>
        <w:spacing w:after="80"/>
      </w:pPr>
      <w:r>
        <w:rPr>
          <w:rFonts w:ascii="Calibri" w:hAnsi="Calibri"/>
          <w:b w:val="0"/>
          <w:color w:val="3A4A28"/>
          <w:sz w:val="20"/>
        </w:rPr>
        <w:t>Western Copper and Gold is a Vancouver-based, pre-revenue exploration and development company advancing the Casino Project — a large-scale copper-gold-silver-molybdenum deposit in the Yukon Territory, Canada, located within the traditional territories of the Selkirk First Nation and Tr'ondëk Hwëch'in [1][2]. The company submitted sufficiency responses to the Yukon Environmental and Socio-economic Assessment Board (YESAB) on July 15, 2026, a key step toward panel formation and formal environmental review [2]. Working capital totaled $125.6M as of June 30, 2026, bolstered by a $92M bought-deal equity financing completed in Q1 2026. Strategic partner Mitsubishi Materials Corporation completed open-market purchases of 1.2M Western shares in July 2026 [2]. Market cap approximately $542M under CEO Sandeep Singh.</w:t>
      </w:r>
    </w:p>
    <w:p>
      <w:r>
        <w:rPr>
          <w:rFonts w:ascii="Calibri" w:hAnsi="Calibri"/>
          <w:b/>
          <w:color w:val="6E8450"/>
          <w:sz w:val="18"/>
        </w:rPr>
        <w:t>40 Employees · https://www.westerncopperandgold.com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Western Copper submitted its ESE Statement to YESAB in October 2025, completed a $92M financing in early 2026, and submitted sufficiency responses to YESAB in July 2026 — steady permitting advancement, but the company remains a single-asset pre-revenue developer advancing through regulatory stages rather than executing a transformative business pivot [1][2]. AI Deployment (0/2): No evidence of AI deployment; this is a pre-revenue mining exploration company with no technology products. Market Share (0/2): Not applicable — the company has no commercial production and no market position. Product Pipeline (1/2): The Casino Project has a specific, filed ESE Statement now in sufficiency review with YESAB panel formation as the next milestone, but production timing remains contingent on permitting outcomes, construction financing, and a multi-year build, so visibility is only partial [2]. R&amp;D Intensity (0/1): Exploration and evaluation spending is standard for the development stage rather than above-average relative to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company's self-description — 'Developing Canada's Premier Copper-Gold Mine' — identifies the asset and location but articulates no deeper purpose beyond project economics [1]. CEO Sandeep Singh describes Casino as 'one of the most significant critical minerals projects in the country' with 'incredible and long-lasting impact on Yukon's economy,' which connects the project to a broader economic development purpose but remains primarily commercial [2]. Community Impact (1/2): Western is a member of the Mining Association of Canada, adheres to Toward Sustainable Mining standards, and has engaged in structured First Nations consultation with the Selkirk First Nation and Tr'ondëk Hwëch'in on the Casino Project — genuine engagement but not dollar-quantified extraordinary community investment [3]. Employee Retention (0/2): No tenure or turnover data found for this ~40-person company. Insider Buying (0/2): Strategic partner Mitsubishi Materials purchased 1.2M shares on the open market in July 2026, reinforcing financial backing, but no evidence of personal net insider buying by CEO Singh or other executives was found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most core metrics are unavailable given pre-revenue status. D/E is effectively 0% — the company carries no debt and holds approximately $125.6M in working capital as of June 30, 2026, scoring a full 1.0 [1][4]. ROE is approximately -3%, below the zero floor and scoring 0.0, reflecting ongoing exploration and permitting expenses with no revenue [4]. Revenue growth, profit margin, Forward P/E, and PEG are all unavailable (no revenue or earnings) and excluded from the weighted calculation. With only two of seven growth-stock weighted metrics available (D/E at 1x weight = 1.0, ROE at 2x weight = 0.0), the mechanical score = round(1.0/3.0 × 10) = 3. Liquidity floor cleared: ~1.62M avg daily volume × $2.40 = ~$3.9M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Western Copper and Gold has invested real capital ($92M raised in early 2026) and submitted YESAB sufficiency responses to advance permitting patiently, with Mitsubishi Materials demonstrating strategic conviction through open-market share purchases. However, the company has not articulated a Just Cause beyond developing its own asset, and as a single-project developer since 2006, it has never faced or demonstrated existential flexibility. Sinek would view this as a company playing a finite game with one specific commercial objective.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Western's stated purpose is developing 'Canada's Premier Copper-Gold Mine,' a project-execution goal rather than an idealistic, resilient cause. CEO Singh frames Casino as significant for critical minerals and Yukon's economy, but the core narrative remains asset-value creation for shareholders [1][2]. First Nations engagement references responsible development but does not rise to the level of a Just Cause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Sandeep Singh completed a leadership transition in early 2025, followed by COO and VP Technical hires in January 2026, and the company strengthened its board and Yukon-based project team [2]. Recent, repeated leadership changes are framed as 'strengthening,' but without tenure or turnover data, there is no evidence of an unusually high-trust or low-trust culture in this ~40-person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positioning language was found. As a single-asset developer, Western does not position Casino relative to named rival copper-gold projects or reference competitive dynamics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Western Copper and Gold has pursued the same single Casino asset since incorporation in 2006 with no evidence of strategic pivots, business-model diversification, or willingness to explore alternative directions. The company is too singularly focused to have faced this test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Raising $92M in dilutive equity to fund permitting and engineering, rather than delaying spend, reflects willingness to accept near-term shareholder dilution in service of long-term project advancement [1]. CEO Singh's public commitment to the Casino project as 'different from Yukon's failed mines' shows personal conviction, though the company's single-asset focus means there is no alternative to double down 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Western Copper and Gold offers leveraged optionality on one of the largest undeveloped copper-gold deposits in North America, with a debt-free balance sheet and $125.6M in working capital as of June 30, 2026 [1]. The company submitted sufficiency responses to YESAB on July 15, 2026, advancing toward panel formation and formal environmental review — a meaningful permitting milestone [2]. Strategic partner Mitsubishi Materials reinforced its backing with open-market share purchases of 1.2M shares in July 2026, validating the project's strategic value [2]. New technical leadership (COO Robert Dirk, ex-Suncor; VP Technical Christian Roldan, ex-Newmont) adds execution depth. With copper prices supported by AI datacenter, grid, and electrification demand, Casino's 4.5B lb copper and 8.9M oz gold resource base is positioned for a structural demand tailwind. Seven analysts maintain a Strong Buy consensus with a $5.68 average price target, implying 137% upside [4].</w:t>
      </w:r>
    </w:p>
    <w:p>
      <w:pPr>
        <w:spacing w:after="120"/>
      </w:pPr>
      <w:r>
        <w:rPr>
          <w:rFonts w:ascii="Calibri" w:hAnsi="Calibri"/>
          <w:b w:val="0"/>
          <w:color w:val="3A4A28"/>
          <w:sz w:val="20"/>
        </w:rPr>
        <w:t>The bear case is significant for a pre-revenue, single-asset development company with negative ROE and no path to cash flow before a construction decision, permitting approval, and a still-unfunded, multi-billion-dollar capital program [4]. The YESAB environmental assessment process is lengthy and uncertain — sufficiency responses are only one step toward panel formation, and the full review could take years before a decision recommendation [2][3]. First Nations groups have raised specific concerns about a proposed access road through hunting grounds and tailings arrangements, creating real social-license risk that could delay or reshape the project [3]. The stock at $542M market cap prices in significant future production that is a decade away, with substantial equity dilution required to fund construction. Frequent recent leadership turnover (CEO transition 2025, new COO and VP in January 2026) introduces execution and continuity risk during a critical permitting phase. The Inspire Impact Score of 0 (MIXED) reflects no available faith-alignment data.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completion of YESAB sufficiency review and progression to panel formation would materially de-risk the permitting pathway for Casino, potentially re-rating the stock from 'explorer' to 'advanced developer' [2]</w:t>
      </w:r>
    </w:p>
    <w:p>
      <w:pPr>
        <w:spacing w:before="40" w:after="40"/>
        <w:ind w:left="283"/>
      </w:pPr>
      <w:r>
        <w:rPr>
          <w:rFonts w:ascii="Calibri" w:hAnsi="Calibri"/>
          <w:b/>
          <w:color w:val="4A6B25"/>
          <w:sz w:val="20"/>
        </w:rPr>
        <w:t xml:space="preserve">2. </w:t>
      </w:r>
      <w:r>
        <w:rPr>
          <w:rFonts w:ascii="Calibri" w:hAnsi="Calibri"/>
          <w:b w:val="0"/>
          <w:color w:val="3A4A28"/>
          <w:sz w:val="20"/>
        </w:rPr>
        <w:t>Extended or deepened strategic partnership with Mitsubishi Materials Corporation, whose July 2026 open-market share purchases signal growing conviction, could provide project-level financing validation and reduce future dilution risk [2]</w:t>
      </w:r>
    </w:p>
    <w:p>
      <w:pPr>
        <w:spacing w:before="40" w:after="40"/>
        <w:ind w:left="283"/>
      </w:pPr>
      <w:r>
        <w:rPr>
          <w:rFonts w:ascii="Calibri" w:hAnsi="Calibri"/>
          <w:b/>
          <w:color w:val="4A6B25"/>
          <w:sz w:val="20"/>
        </w:rPr>
        <w:t xml:space="preserve">3. </w:t>
      </w:r>
      <w:r>
        <w:rPr>
          <w:rFonts w:ascii="Calibri" w:hAnsi="Calibri"/>
          <w:b w:val="0"/>
          <w:color w:val="3A4A28"/>
          <w:sz w:val="20"/>
        </w:rPr>
        <w:t>Rising copper prices driven by AI datacenter, grid electrification, and EV demand increase the embedded value of Casino's 4.5B lb copper resource and improve project-level financing terms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Western Copper generates no revenue and has negative ROE; the company remains fully dependent on capital markets for both near-term permitting costs and an eventual multi-billion-dollar construction budget that will likely require massive equity or joint venture dilution [1][4]</w:t>
      </w:r>
    </w:p>
    <w:p>
      <w:pPr>
        <w:spacing w:before="40" w:after="40"/>
        <w:ind w:left="283"/>
      </w:pPr>
      <w:r>
        <w:rPr>
          <w:rFonts w:ascii="Calibri" w:hAnsi="Calibri"/>
          <w:b/>
          <w:color w:val="4A6B25"/>
          <w:sz w:val="20"/>
        </w:rPr>
        <w:t xml:space="preserve">2. </w:t>
      </w:r>
      <w:r>
        <w:rPr>
          <w:rFonts w:ascii="Calibri" w:hAnsi="Calibri"/>
          <w:b w:val="0"/>
          <w:color w:val="3A4A28"/>
          <w:sz w:val="20"/>
        </w:rPr>
        <w:t>First Nations concerns over the proposed access road and tailings arrangements create real permitting and social-license risk — the YESAB process is lengthy and the outcome is uncertain [2][3]</w:t>
      </w:r>
    </w:p>
    <w:p>
      <w:pPr>
        <w:spacing w:before="40" w:after="40"/>
        <w:ind w:left="283"/>
      </w:pPr>
      <w:r>
        <w:rPr>
          <w:rFonts w:ascii="Calibri" w:hAnsi="Calibri"/>
          <w:b/>
          <w:color w:val="4A6B25"/>
          <w:sz w:val="20"/>
        </w:rPr>
        <w:t xml:space="preserve">3. </w:t>
      </w:r>
      <w:r>
        <w:rPr>
          <w:rFonts w:ascii="Calibri" w:hAnsi="Calibri"/>
          <w:b w:val="0"/>
          <w:color w:val="3A4A28"/>
          <w:sz w:val="20"/>
        </w:rPr>
        <w:t>Single-asset concentration risk — the company's entire enterprise value depends on one unbuilt mine in the Yukon, with no diversification or fallback if Casino encounters insurmountable regulatory, technical, or financing obstacles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Copper-gold-silver-molybdenum exploration and future extraction is a physical-world business immune to AI substitution — the Casino deposit's value derives from a proven mineral resource and permitting progress, neither of which AI can displace [1]. Copper is additionally a direct beneficiary of AI infrastructure buildout: data centers, power grid expansion, and electrification all require substantial copper, making this a structural tailwind rather than a threat. The Yukon regulatory and First Nations engagement processes are complex human-driven activities that AI cannot automate. AI Opportunity (0/1): No evidence of Western Copper using AI for geological modeling or operational applications. The company generates zero AI-related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Western Copper and Gold Q1-Q2 2026 Financing and Working Capital — $92M bought-deal completed, working capital $125.6M as of June 30, StockTitan, SEC 6-K, 2026</w:t>
      </w:r>
    </w:p>
    <w:p>
      <w:pPr>
        <w:spacing w:before="20" w:after="20"/>
        <w:ind w:left="170"/>
      </w:pPr>
      <w:r>
        <w:rPr>
          <w:rFonts w:ascii="Calibri" w:hAnsi="Calibri"/>
          <w:b/>
          <w:color w:val="4A6B25"/>
          <w:sz w:val="15"/>
        </w:rPr>
        <w:t xml:space="preserve">2. </w:t>
      </w:r>
      <w:r>
        <w:rPr>
          <w:rFonts w:ascii="Calibri" w:hAnsi="Calibri"/>
          <w:b w:val="0"/>
          <w:color w:val="3A4A28"/>
          <w:sz w:val="17"/>
        </w:rPr>
        <w:t>Western Copper and Gold Casino Project Permitting — YESAB sufficiency responses submitted July 15, 2026; Mitsubishi 1.2M share purchase July 20, 2026; CEO Singh on Casino's significance, CBC News, Mining News North, Globe and Mail, 2026</w:t>
      </w:r>
    </w:p>
    <w:p>
      <w:pPr>
        <w:spacing w:before="20" w:after="20"/>
        <w:ind w:left="170"/>
      </w:pPr>
      <w:r>
        <w:rPr>
          <w:rFonts w:ascii="Calibri" w:hAnsi="Calibri"/>
          <w:b/>
          <w:color w:val="4A6B25"/>
          <w:sz w:val="15"/>
        </w:rPr>
        <w:t xml:space="preserve">3. </w:t>
      </w:r>
      <w:r>
        <w:rPr>
          <w:rFonts w:ascii="Calibri" w:hAnsi="Calibri"/>
          <w:b w:val="0"/>
          <w:color w:val="3A4A28"/>
          <w:sz w:val="17"/>
        </w:rPr>
        <w:t>Western Copper and Gold First Nations Engagement — Selkirk First Nation and Tr'ondëk Hwëch'in concerns, Mining Association of Canada membership, Toward Sustainable Mining standards,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WRN Key Statistics: Stock Price $2.40, Market Cap $542M, Avg Volume ~1.62M, Strong Buy consensus, $5.68 target,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