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WSM</w:t>
      </w:r>
      <w:r>
        <w:rPr>
          <w:rFonts w:ascii="Calibri" w:hAnsi="Calibri"/>
          <w:b/>
          <w:color w:val="1A2010"/>
          <w:sz w:val="40"/>
        </w:rPr>
        <w:t xml:space="preserve">  Williams-Sonoma, Inc.</w:t>
      </w:r>
    </w:p>
    <w:p>
      <w:pPr>
        <w:spacing w:after="120"/>
      </w:pPr>
      <w:r>
        <w:rPr>
          <w:rFonts w:ascii="Calibri" w:hAnsi="Calibri"/>
          <w:b/>
          <w:color w:val="6E8450"/>
          <w:sz w:val="18"/>
        </w:rPr>
        <w:t>GROWTH SLEEVE · 2026-09-28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Williams-Sonoma is an omni-channel specialty retailer of premium home furnishings and kitchenware, operating through brands including Williams Sonoma, Pottery Barn, Pottery Barn Kids, Pottery Barn Teen, West Elm, Rejuvenation, Mark and Graham, and GreenRow. Founded in 1956 in San Francisco, the company has evolved from a single-brand cookware store into a multi-brand home lifestyle platform with 66%+ of revenue from e-commerce. CEO Laura Alber has led since 2010. FY2025 (ended Feb 2026) delivered revenue of $7.81B with record EPS of $8.84 and operating margins in the high teens. The company allocates 75% of capex to e-commerce technology.</w:t>
      </w:r>
    </w:p>
    <w:p>
      <w:r>
        <w:rPr>
          <w:rFonts w:ascii="Calibri" w:hAnsi="Calibri"/>
          <w:b/>
          <w:color w:val="6E8450"/>
          <w:sz w:val="18"/>
        </w:rPr>
        <w:t>19,800 Employees · https://www.williams-sonomainc.com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Williams-Sonoma has incrementally evolved its retail model over the past five years, shifting to 66%+ e-commerce revenue and launching the GreenRow sustainable brand, but has not executed a transformative product launch or business model pivot [1]. Revenue peaked at $8.67B in FY2022 and has declined ~10% since, with FY2025 revenue of $7.81B (+1.3% YoY) — the growth trajectory has been flat to negative since the pandemic home-furnishing boom subsided. AI Deployment (1/2): CEO Laura Alber describes AI as 'embedded across our business' with applications in customer care, personalization, product discovery, and interior design guidance on e-commerce sites [2]. AI has improved relevance, monetization, and engagement across brands, but no specific revenue impact or cost savings figures have been quantified. Market Share (2/2): Williams-Sonoma is the category leader in premium home furnishings with a portfolio of differentiated brands — Pottery Barn, West Elm, and Williams Sonoma command dominant positions in their respective price/style segments with no direct competitor matching the breadth [2]. The company's design proprietary advantage and in-house manufacturing capabilities create meaningful differentiation. Product Pipeline (0/2): No specific next-generation products with named launch dates and revenue visibility have been announced — the company relies on seasonal product refreshes and brand extensions rather than a defined product pipeline. R&amp;D Intensity (1/1): Williams-Sonoma allocates 75% of capex to e-commerce and technology development, significantly above the specialty retail industry average, reflecting sustained investment in digital capabilities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Williams-Sonoma's purpose centers on 'putting people first, investing in associates, and leading the industry on worker wellbeing,' as articulated by board member Arianna Huffington [2]. The company identifies what it does (premium home products) and its cultural values but does not articulate a transformative vision of a better future — the purpose is clear but not deeply distinctive from other well-run retailers. Community Impact (2/2): Williams-Sonoma's 'Good by Design' strategy spans Planet, People, and Purpose pillars with measurable results — included in Barron's 100 Most Sustainable Companies for five consecutive years, named Sustainable Furnishings Council's top scoring global company for sustainable wood furniture for five years, and included in the Dow Jones Sustainability North America Index [3]. Employee Retention (1/2): CEO Laura Alber's 16-year tenure (since 2010) and the recent board appointment of Arianna Huffington signal cultural emphasis on leadership stability and employee wellbeing. The company has 19,800 employees with no evidence of major layoffs or cultural disruption, suggesting stable retention. However, no specific turnover or tenure metrics are available.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Williams-Sonoma demonstrates exceptional capital efficiency with ROE of 54.96%, well above the 15% target, reflecting strong earnings on a relatively lean equity base driven by share buybacks [4]. D/E of 71.37% is marginally above the 70% target (scoring 0.99). Forward P/E of 22.06 is slightly above the 20x target (scoring 0.95). Revenue growth YoY of 6.7% is below the 10% target (scoring 0.89). The key drag is the PEG ratio of 2.63 against a 1.0 target (scoring 0.19 with 2x weight), reflecting a premium valuation relative to the modest growth rate [4]. Profit margin of 14.73% scores 0.74 against the 20% target. The stock easily clears the liquidity floor at ~$245.8M daily trading volume. Revenue growth 5yr CAGR excluded due to pandemic-era revenue distortion.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Williams-Sonoma demonstrates meaningful infinite game characteristics under Laura Alber's 16-year leadership: a genuine commitment to sustainability through the 'Good by Design' strategy, consistent investment in culture and associates, and a multi-brand portfolio approach that prioritizes enduring brand equity over short-term revenue maximization. The company has maintained premium positioning and operating margins in the high teens through retail industry downturns rather than discounting for volume. However, the absence of a transformative Just Cause and competitive framing focused on market positioning rather than self-improvement keep the company in mixed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Williams-Sonoma's purpose connects its work to enhancing people's homes and lives through thoughtful design, sustainability, and quality — the 'Good by Design' strategy with Planet, People, and Purpose pillars demonstrates genuine intentionality [3]. The commitment to sustainable sourcing (top-scoring company for sustainable wood furniture), associate wellbeing, and maintaining premium quality over volume-driven discounting reflects leadership decisions traced back to the purpose. However, the cause has not been tested through a genuine crisis or leadership transition — Laura Alber has led during a period of relative stability, and the purpose, while genuine, is still oriented around selling furniture rather than a vision of a future state that does not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Laura Alber's 16-year CEO tenure provides exceptional leadership continuity for a retail company, and the emphasis on 'putting people first' and 'worker wellbeing' suggests cultural investment [2]. The addition of Arianna Huffington to the board signals commitment to employee-centered leadership. Williams-Sonoma's 19,800 employees operate across multiple brands with a decentralized brand-president structure that suggests empowerment. However, no specific turnover data, average tenure, or employee satisfaction metrics are publicly available to confirm exceptional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Williams-Sonoma competes with RH (Restoration Hardware), Crate &amp; Barrel, IKEA, and Wayfair, but no evidence was found of management commentary acknowledging competitors' strengths or framing competition as motivation for self-improvement. The company's competitive positioning emphasizes its own brand differentiation and design authority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Williams-Sonoma has evolved meaningfully since its 1956 founding — from a single-brand cookware store to a multi-brand home lifestyle platform, from catalog retail to 66%+ e-commerce, and from domestic focus to international expansion [1]. The shift to allocate 75% of capex to digital capabilities represents a significant strategic evolution [2]. However, the company has not fundamentally reinvented its business model — it remains a premium home furnishings retailer, and the changes have been incremental adaptations rather than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Williams-Sonoma under Laura Alber has consistently refused to chase volume through aggressive discounting, maintaining operating margins in the high teens (17-18%) while competitors compressed margins during retail industry downturns [1]. The 'Good by Design' sustainability strategy involves real cost commitments to responsible sourcing. However, no evidence was found of transformative capital allocation decisions — the company has not made costly bets that sacrifice near-term earnings for long-term capability beyond steady operational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Williams-Sonoma at 22.1x forward earnings delivers best-in-class retail profitability with ROE of 54.96%, operating margins of 17-18%, and record FY2025 EPS of $8.84, driven by a premium brand portfolio (Pottery Barn, West Elm, Williams Sonoma) with 66%+ e-commerce penetration and proprietary design capabilities [1][4]. Q2 2026 showed accelerating momentum with 6.2% comp growth and 6.7% total revenue growth, EPS of $2.10, and FY2026 guidance for 2.7-6.7% revenue growth with operating margins of 17.5-18.1% [1]. The company generates $1.07B in free cash flow, enabling sustained buybacks that compound EPS growth on a shrinking share base. AI integration across personalization, product discovery, and customer care positions the company to maintain its experience advantage over commodity retailers [2].</w:t>
      </w:r>
    </w:p>
    <w:p>
      <w:pPr>
        <w:spacing w:after="120"/>
      </w:pPr>
      <w:r>
        <w:rPr>
          <w:rFonts w:ascii="Calibri" w:hAnsi="Calibri"/>
          <w:b w:val="0"/>
          <w:color w:val="3A4A28"/>
          <w:sz w:val="20"/>
        </w:rPr>
        <w:t>The bear case centers on valuation premium relative to growth, housing cycle exposure, and revenue stagnation. The PEG ratio of 2.63 prices in significant earnings growth that may not materialize — revenue has been flat to declining since the FY2022 pandemic peak of $8.67B, and the mid-single-digit growth rate does not justify a 22x forward multiple when specialty retail peers trade at 12-16x [4]. Williams-Sonoma's core business is tied to home purchases, renovations, and discretionary home spending, which remain constrained by elevated mortgage rates and housing transaction volume well below historical norms. The company's international expansion has been slow to deliver meaningful revenue contribution. The dividend yield of only 1.31% with a modest payout ratio of 29% provides limited downside protection relative to pure dividend plays. The Inspire Impact Score of -49 (MISALIGNED) may limit allocation for faith-based investors despite the company's strong sustainability practices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recovery and mortgage rate normalization could unlock pent-up demand for home furnishings — each 100bps decline in mortgage rates historically drives 5-10% improvement in home furnishing industry comps [1]</w:t>
      </w:r>
    </w:p>
    <w:p>
      <w:pPr>
        <w:spacing w:before="40" w:after="40"/>
        <w:ind w:left="283"/>
      </w:pPr>
      <w:r>
        <w:rPr>
          <w:rFonts w:ascii="Calibri" w:hAnsi="Calibri"/>
          <w:b/>
          <w:color w:val="4A6B25"/>
          <w:sz w:val="20"/>
        </w:rPr>
        <w:t xml:space="preserve">2. </w:t>
      </w:r>
      <w:r>
        <w:rPr>
          <w:rFonts w:ascii="Calibri" w:hAnsi="Calibri"/>
          <w:b w:val="0"/>
          <w:color w:val="3A4A28"/>
          <w:sz w:val="20"/>
        </w:rPr>
        <w:t>AI-driven personalization improving conversion rates and average order value across the e-commerce platform, which represents 66%+ of revenue and is the primary growth engine [2]</w:t>
      </w:r>
    </w:p>
    <w:p>
      <w:pPr>
        <w:spacing w:before="40" w:after="40"/>
        <w:ind w:left="283"/>
      </w:pPr>
      <w:r>
        <w:rPr>
          <w:rFonts w:ascii="Calibri" w:hAnsi="Calibri"/>
          <w:b/>
          <w:color w:val="4A6B25"/>
          <w:sz w:val="20"/>
        </w:rPr>
        <w:t xml:space="preserve">3. </w:t>
      </w:r>
      <w:r>
        <w:rPr>
          <w:rFonts w:ascii="Calibri" w:hAnsi="Calibri"/>
          <w:b w:val="0"/>
          <w:color w:val="3A4A28"/>
          <w:sz w:val="20"/>
        </w:rPr>
        <w:t>Operating margin expansion above the 17.5-18.1% FY2026 guidance range through continued operational efficiency, sustainable sourcing cost discipline, and e-commerce operating leverage on incremental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housing market weakness — elevated mortgage rates above 6% have compressed home transaction volume to multi-decade lows, reducing the primary demand driver for home furnishing spending [1]</w:t>
      </w:r>
    </w:p>
    <w:p>
      <w:pPr>
        <w:spacing w:before="40" w:after="40"/>
        <w:ind w:left="283"/>
      </w:pPr>
      <w:r>
        <w:rPr>
          <w:rFonts w:ascii="Calibri" w:hAnsi="Calibri"/>
          <w:b/>
          <w:color w:val="4A6B25"/>
          <w:sz w:val="20"/>
        </w:rPr>
        <w:t xml:space="preserve">2. </w:t>
      </w:r>
      <w:r>
        <w:rPr>
          <w:rFonts w:ascii="Calibri" w:hAnsi="Calibri"/>
          <w:b w:val="0"/>
          <w:color w:val="3A4A28"/>
          <w:sz w:val="20"/>
        </w:rPr>
        <w:t>Revenue stagnation risk — FY2025 revenue of $7.81B remains 10% below the FY2022 peak of $8.67B, and mid-single-digit comps may not be sufficient to overcome the structural headwind of a saturated U.S. home furnishings market</w:t>
      </w:r>
    </w:p>
    <w:p>
      <w:pPr>
        <w:spacing w:before="40" w:after="40"/>
        <w:ind w:left="283"/>
      </w:pPr>
      <w:r>
        <w:rPr>
          <w:rFonts w:ascii="Calibri" w:hAnsi="Calibri"/>
          <w:b/>
          <w:color w:val="4A6B25"/>
          <w:sz w:val="20"/>
        </w:rPr>
        <w:t xml:space="preserve">3. </w:t>
      </w:r>
      <w:r>
        <w:rPr>
          <w:rFonts w:ascii="Calibri" w:hAnsi="Calibri"/>
          <w:b w:val="0"/>
          <w:color w:val="3A4A28"/>
          <w:sz w:val="20"/>
        </w:rPr>
        <w:t>Premium valuation compression — PEG of 2.63 leaves limited margin of safety if the growth narrative disappoints, particularly given the consumer cyclical nature of the business and competitive pressure from RH, Wayfair, and IKEA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Williams-Sonoma's core business — designing, manufacturing, and selling physical home furnishings, cookware, and decor — involves tangible products that AI structurally cannot replace [1]. The company's competitive moats include proprietary product design, in-house manufacturing capabilities, established brand equity (Pottery Barn, West Elm, Williams Sonoma), and multi-channel retail infrastructure with 500+ stores. AI cannot replicate the physical showroom experience or the emotional brand connection that drives premium pricing. However, AI-powered interior design tools and generative AI could reduce the value of design expertise that differentiates Williams-Sonoma's brands, and AI-enhanced competitors could improve personalization to close the customer experience gap. AI Opportunity (0/1): Williams-Sonoma uses AI internally for personalization, product discovery, and customer care but does not generate revenue from AI-related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Williams-Sonoma FY2025 and Q2 2026 Results — Record EPS $8.84, Q2 2026 Revenue Growth 6.7%, Comps +6.2%, Operating Margin 17.3%, FY2026 Guidance 2.7-6.7% Revenue Growth, BusinessWire, IR Release, 2026</w:t>
      </w:r>
    </w:p>
    <w:p>
      <w:pPr>
        <w:spacing w:before="20" w:after="20"/>
        <w:ind w:left="170"/>
      </w:pPr>
      <w:r>
        <w:rPr>
          <w:rFonts w:ascii="Calibri" w:hAnsi="Calibri"/>
          <w:b/>
          <w:color w:val="4A6B25"/>
          <w:sz w:val="15"/>
        </w:rPr>
        <w:t xml:space="preserve">2. </w:t>
      </w:r>
      <w:r>
        <w:rPr>
          <w:rFonts w:ascii="Calibri" w:hAnsi="Calibri"/>
          <w:b w:val="0"/>
          <w:color w:val="3A4A28"/>
          <w:sz w:val="17"/>
        </w:rPr>
        <w:t>Williams-Sonoma AI Strategy and Leadership — CEO Laura Alber (since 2010), AI Embedded Across Business, Personalization and Product Discovery, 75% Capex to E-Commerce, Arianna Huffington Board Appointment, WebProNews, CX Dive, Diginomica, 2025-2026</w:t>
      </w:r>
    </w:p>
    <w:p>
      <w:pPr>
        <w:spacing w:before="20" w:after="20"/>
        <w:ind w:left="170"/>
      </w:pPr>
      <w:r>
        <w:rPr>
          <w:rFonts w:ascii="Calibri" w:hAnsi="Calibri"/>
          <w:b/>
          <w:color w:val="4A6B25"/>
          <w:sz w:val="15"/>
        </w:rPr>
        <w:t xml:space="preserve">3. </w:t>
      </w:r>
      <w:r>
        <w:rPr>
          <w:rFonts w:ascii="Calibri" w:hAnsi="Calibri"/>
          <w:b w:val="0"/>
          <w:color w:val="3A4A28"/>
          <w:sz w:val="17"/>
        </w:rPr>
        <w:t>Williams-Sonoma ESG and Sustainability — Good by Design Strategy, Barron's 100 Most Sustainable (5 Years), Sustainable Furnishings Council Top Score, DJSI Inclusion, CSRHub,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WSM Key Statistics: Forward P/E 22.06x, PEG 2.63, ROE 54.96%, D/E 71.37%, Dividend Yield 1.31%, Stock Price $231.90,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