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WT</w:t>
      </w:r>
      <w:r>
        <w:rPr>
          <w:rFonts w:ascii="Calibri" w:hAnsi="Calibri"/>
          <w:b/>
          <w:color w:val="1A2010"/>
          <w:sz w:val="40"/>
        </w:rPr>
        <w:t xml:space="preserve">  WisdomTree, Inc.</w:t>
      </w:r>
    </w:p>
    <w:p>
      <w:pPr>
        <w:spacing w:after="120"/>
      </w:pPr>
      <w:r>
        <w:rPr>
          <w:rFonts w:ascii="Calibri" w:hAnsi="Calibri"/>
          <w:b/>
          <w:color w:val="6E8450"/>
          <w:sz w:val="18"/>
        </w:rPr>
        <w:t>GROWTH SLEEVE · 2026-09-02 · Inspire: 52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WisdomTree is a global asset management firm specializing in exchange-traded funds (ETFs) and exchange-traded products (ETPs), with a focus on smart-beta, factor-based, and thematic investment strategies including AI and digital assets. Founded by CEO Jono Steinberg, who has led the company for 37 years, WisdomTree manages record assets under management of $162.9B following the Atlantic House acquisition. Q2 2026 revenue surged 57.3% YoY to $177.2M, with adjusted EPS of $0.31 beating consensus by 14.8%. The company offers AI-focused and digital asset strategies and has been building WisdomTree Prime, a blockchain-enabled digital finance platform. Market cap approximately $3.6B.</w:t>
      </w:r>
    </w:p>
    <w:p>
      <w:r>
        <w:rPr>
          <w:rFonts w:ascii="Calibri" w:hAnsi="Calibri"/>
          <w:b/>
          <w:color w:val="6E8450"/>
          <w:sz w:val="18"/>
        </w:rPr>
        <w:t>350 Employees · https://www.wisdomtree.com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WisdomTree has executed one significant strategic expansion — the Atlantic House acquisition — which expanded product capabilities across Europe and is expected to increase revenue yield by 2 basis points [1]. The WisdomTree Prime digital assets platform represents an emerging business line exploring blockchain-based tokenization of financial assets, though it has not yet generated material revenue. AI Deployment (0/2): WisdomTree offers AI-themed ETFs and investment strategies for investors, but these are investment products providing exposure to AI companies — the firm has not deployed AI in its own operations with measurable cost savings or efficiency gains [2]. No evidence of AI-powered tools, AI-driven portfolio construction, or AI-assisted client service. Market Share (1/2): Record AUM of $162.9B represents meaningful scale in the ETF industry, and $5.9B in Q2 net inflows globally demonstrate competitive momentum [1]. However, WisdomTree remains a small player compared to BlackRock, Vanguard, and State Street. Product Pipeline (1/2): AI-focused strategies, digital assets products, and European expansion through Atlantic House provide some forward visibility, but no specific next-gen products with named launch dates and revenue projections have been announced. R&amp;D Intensity (0/1): As an asset management firm, WisdomTree invests minimally in R&amp;D relative to revenue — product innovation occurs through fund launches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WisdomTree's stated culture emphasizes 'innovation, collaboration, accountability, and entrepreneurial thinking,' with a Work Smart flexible culture focused on performance and wellness [2]. The company positions itself as democratizing access to innovative investment strategies, but this is generic for an asset manager and does not articulate a distinctive purpose beyond financial returns. Community Impact (0/2): No evidence of distinctive charitable programs, community investment, or foundation activity beyond baseline corporate practices. Employee Retention (1/2): CEO Jono Steinberg's 37-year tenure signals extraordinary leadership continuity and commitment [2]. The small team (100-499 employees) benefits from a culture described as rooted in 'ownership, integrity, and a long-term perspective.' However, no specific retention metrics or employee tenure data are publicly available. Insider Buying (0/2): No evidence of meaningful net insider buying by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WisdomTree's infrastructure score is driven by exceptional revenue growth and reasonable valuation. Revenue growth YoY of 57.3% and an estimated 5-year revenue CAGR of approximately 18% (driven by AUM growth from ~$75B to $162.9B and the Atlantic House acquisition) both score perfectly at the 10% target [1]. Forward P/E of 16.95 is below the 20x target, scoring 1.0 [4]. Estimated forward PEG of approximately 0.48 (Forward P/E 16.95 divided by ~35% estimated EPS growth) also scores 1.0 with 2x weight. ROE of 13.78% is close to the 15% target, scoring 0.92 [4]. The main drags are D/E of 253% (debt rose from $275M in 2023 to $1.08B, largely from the Atlantic House acquisition), scoring only 0.20, and profit margin of 11.26%, scoring 0.56 [4]. The stock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WisdomTree operates with a pragmatic, growth-oriented mindset typical of asset management firms rather than a purpose-driven infinite game approach. CEO Jono Steinberg's 37-year tenure provides extraordinary leadership continuity, and the company has shown willingness to evolve (digital assets, international expansion, Atlantic House acquisition). However, the firm's strategic decisions are driven by AUM growth and fee revenue rather than a transcendent purpose, and the $4M SEC fine for ESG fund misstatements reveals that compliance and integrity standards lag behind marketing ambitions. The company is well-managed but lacks a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WisdomTree's purpose centers on providing innovative investment solutions and democratizing access to sophisticated strategies. While admirable, this is interchangeable with virtually any asset manager's mission statement and does not articulate a vision of a future state that inspires sacrifice [2]. CEO Steinberg is 'fascinated by disruptors' and the culture emphasizes innovation, but the driving force is AUM growth and market position rather than a cause that transcends financial performance. Strategic decisions (Atlantic House acquisition, AI ETFs, digital assets) are opportunity-driven rather than cause-driven.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WisdomTree benefits from exceptional leadership continuity — CEO Jono Steinberg's 37-year tenure and the company's small size (100-499 employees) suggest a stable, cohesive organization [2]. The 'Work Smart' culture emphasizing flexibility, performance, and wellness indicates reasonable employee care. The appointment of board member Daniela Mielke for her expertise in navigating disruption shows thoughtful governance. However, no specific data on employee turnover, tenure, or cultural practices is available to confirm exceptional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WisdomTree's competitive positioning focuses on differentiating from larger competitors through innovation and thematic strategies — positioning itself as the innovative alternative to BlackRock, Vanguard, and State Street [2]. While the company acknowledges competitors, its language emphasizes 'winning' through differentiation rather than explicitly learning from rivals' strengths. No evidence of management framing competition as self-improvement motivation.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WisdomTree has evolved from a traditional ETF provider to a diversified global asset manager with thematic strategies (AI, digital assets), international expansion (European operations, Atlantic House), and an emerging blockchain-enabled digital finance platform (WisdomTree Prime) [1][2]. The digital assets initiative represents a meaningful bet on a new paradigm. However, the core ETF business model remains intact — these are extensions and adjacencies rather than a fundamental reinvention of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Atlantic House acquisition represents a meaningful long-term bet — taking on significant debt ($1.08B total, D/E rising to 253%) to expand European capabilities and increase revenue yield, even at the cost of near-term financial risk [1]. The WisdomTree Prime digital assets platform investment, despite uncertain near-term returns, shows willingness to invest in future capabilities. CEO Steinberg's 37-year commitment itself signals long-term orientation. However, these are calculated business investments rather than courageous sacrifices of short-term performance for a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WisdomTree at 16.95x forward earnings is attractively valued for an asset manager delivering 57.3% revenue growth and record AUM of $162.9B — Q2 2026 adjusted EPS of $0.31 beat consensus by 14.8%, marking the sixth consecutive quarter of record AUM [1]. The Atlantic House acquisition expands European distribution and is expected to lift revenue yield by 2 basis points, while $5.9B in quarterly net inflows demonstrate organic growth momentum across international equity and fixed income strategies. CEO Jono Steinberg's 37-year tenure provides unparalleled leadership continuity. The WisdomTree Prime digital assets platform and AI-themed ETFs position the company at the intersection of two secular growth trends. The Inspire Impact Score of 52 (ALIGNED) with nine positive attributions and zero negatives makes this highly accessible to faith-based investors.</w:t>
      </w:r>
    </w:p>
    <w:p>
      <w:pPr>
        <w:spacing w:after="120"/>
      </w:pPr>
      <w:r>
        <w:rPr>
          <w:rFonts w:ascii="Calibri" w:hAnsi="Calibri"/>
          <w:b w:val="0"/>
          <w:color w:val="3A4A28"/>
          <w:sz w:val="20"/>
        </w:rPr>
        <w:t>The bear case centers on leverage, the SEC fine, and sustainability of growth. D/E has surged to 253% as debt rose from $275M to $1.08B, largely financing the Atlantic House acquisition — this creates significant financial risk if markets decline and AUM-linked revenue falls [4]. The trailing P/E of 46.38 suggests current earnings are depressed relative to forward expectations, creating execution risk if the Atlantic House integration underperforms. The $4M SEC fine for ESG fund misstatements (including fossil fuel and tobacco stocks in ESG-marketed ETFs) raises compliance and reputational concerns — the company marketed funds as ESG-compliant that demonstrably were not, eroding investor trust [3]. Profit margin of 11.26% is below industry leaders, and the 57.3% revenue growth is partly acquisition-driven rather than purely organic. The dividend yield of 0.61% with 0% growth over 5 years is negligible and does not provide income support. WisdomTree remains a small player competing against BlackRock, Vanguard, and State Street — firms with massive scale advantages in distribution, technology, and pricing power.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AUM of $162.9B with sixth consecutive quarterly record and $5.9B in net inflows — sustained organic growth combined with Atlantic House revenue yield uplift of ~2 basis points could drive continued earnings acceleration [1]</w:t>
      </w:r>
    </w:p>
    <w:p>
      <w:pPr>
        <w:spacing w:before="40" w:after="40"/>
        <w:ind w:left="283"/>
      </w:pPr>
      <w:r>
        <w:rPr>
          <w:rFonts w:ascii="Calibri" w:hAnsi="Calibri"/>
          <w:b/>
          <w:color w:val="4A6B25"/>
          <w:sz w:val="20"/>
        </w:rPr>
        <w:t xml:space="preserve">2. </w:t>
      </w:r>
      <w:r>
        <w:rPr>
          <w:rFonts w:ascii="Calibri" w:hAnsi="Calibri"/>
          <w:b w:val="0"/>
          <w:color w:val="3A4A28"/>
          <w:sz w:val="20"/>
        </w:rPr>
        <w:t>Atlantic House acquisition integration increasing European distribution and product diversification — if the integration succeeds, WisdomTree could establish itself as a leading mid-tier global ETF provider with premium revenue yield [1]</w:t>
      </w:r>
    </w:p>
    <w:p>
      <w:pPr>
        <w:spacing w:before="40" w:after="40"/>
        <w:ind w:left="283"/>
      </w:pPr>
      <w:r>
        <w:rPr>
          <w:rFonts w:ascii="Calibri" w:hAnsi="Calibri"/>
          <w:b/>
          <w:color w:val="4A6B25"/>
          <w:sz w:val="20"/>
        </w:rPr>
        <w:t xml:space="preserve">3. </w:t>
      </w:r>
      <w:r>
        <w:rPr>
          <w:rFonts w:ascii="Calibri" w:hAnsi="Calibri"/>
          <w:b w:val="0"/>
          <w:color w:val="3A4A28"/>
          <w:sz w:val="20"/>
        </w:rPr>
        <w:t>WisdomTree Prime digital assets platform and AI-themed ETF strategies positioning the company at the intersection of two secular growth trends that could drive above-market AUM growth in 2027 and beyond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leverage with D/E of 253% and $1.08B in total debt creates significant financial risk — a market downturn reducing AUM and fee revenue could strain debt service capacity and force asset sales or dilutive capital raises [4]</w:t>
      </w:r>
    </w:p>
    <w:p>
      <w:pPr>
        <w:spacing w:before="40" w:after="40"/>
        <w:ind w:left="283"/>
      </w:pPr>
      <w:r>
        <w:rPr>
          <w:rFonts w:ascii="Calibri" w:hAnsi="Calibri"/>
          <w:b/>
          <w:color w:val="4A6B25"/>
          <w:sz w:val="20"/>
        </w:rPr>
        <w:t xml:space="preserve">2. </w:t>
      </w:r>
      <w:r>
        <w:rPr>
          <w:rFonts w:ascii="Calibri" w:hAnsi="Calibri"/>
          <w:b w:val="0"/>
          <w:color w:val="3A4A28"/>
          <w:sz w:val="20"/>
        </w:rPr>
        <w:t>SEC $4M fine for ESG fund misstatements (including fossil fuel and tobacco in ESG-marketed ETFs) reveals compliance failures and reputational risk that could deter institutional investors and trigger further regulatory scrutiny [3]</w:t>
      </w:r>
    </w:p>
    <w:p>
      <w:pPr>
        <w:spacing w:before="40" w:after="40"/>
        <w:ind w:left="283"/>
      </w:pPr>
      <w:r>
        <w:rPr>
          <w:rFonts w:ascii="Calibri" w:hAnsi="Calibri"/>
          <w:b/>
          <w:color w:val="4A6B25"/>
          <w:sz w:val="20"/>
        </w:rPr>
        <w:t xml:space="preserve">3. </w:t>
      </w:r>
      <w:r>
        <w:rPr>
          <w:rFonts w:ascii="Calibri" w:hAnsi="Calibri"/>
          <w:b w:val="0"/>
          <w:color w:val="3A4A28"/>
          <w:sz w:val="20"/>
        </w:rPr>
        <w:t>Revenue growth of 57.3% is partly acquisition-driven — organic growth rates may normalize to mid-teens as the Atlantic House acquisition annualizes, potentially disappointing investors who extrapolate current growth rates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WisdomTree's ETF/ETP business model has meaningful structural protections from AI disruption. Passive and factor-based ETFs are already systematic and rules-based — they don't rely on human stock-picking judgment that AI could replace. Regulatory requirements (SEC registration, compliance), distribution relationships (broker-dealer platforms), and brand trust create switching costs [2]. However, AI-driven robo-advisors and algorithmic portfolio construction could put pressure on management fees over time, and AI could commoditize the factor-based and thematic investment strategies that differentiate WisdomTree from larger competitors. New AI-native asset managers could emerge with lower cost structures. The $4M SEC fine for ESG fund misstatements (2024) also highlights compliance risk that AI-powered monitoring could expose more frequently across the industry [3]. AI Opportunity (0/1): WisdomTree offers AI-themed investment products (AI &amp; Innovation ETFs) that provide investor exposure to AI companies, but the firm does not generate revenue from AI technology itself. These are investment products, not AI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WisdomTree Q2 2026 Earnings — Revenue $177.2M (+57.3% YoY), Adjusted EPS $0.31 (beat by 14.8%), Record AUM $162.9B, Net Inflows $5.9B, Atlantic House Integration — Alphastreet, StockStory, Motley Fool, August 2026</w:t>
      </w:r>
    </w:p>
    <w:p>
      <w:pPr>
        <w:spacing w:before="20" w:after="20"/>
        <w:ind w:left="170"/>
      </w:pPr>
      <w:r>
        <w:rPr>
          <w:rFonts w:ascii="Calibri" w:hAnsi="Calibri"/>
          <w:b/>
          <w:color w:val="4A6B25"/>
          <w:sz w:val="15"/>
        </w:rPr>
        <w:t xml:space="preserve">2. </w:t>
      </w:r>
      <w:r>
        <w:rPr>
          <w:rFonts w:ascii="Calibri" w:hAnsi="Calibri"/>
          <w:b w:val="0"/>
          <w:color w:val="3A4A28"/>
          <w:sz w:val="17"/>
        </w:rPr>
        <w:t>WisdomTree Leadership, Innovation, AI Strategy — CEO Jono Steinberg (37-yr tenure), 20 Years of Innovation, AI &amp; Innovation ETFs, WisdomTree Prime, Work Smart Culture — BusinessWire, WisdomTree.com, LinkedIn, 2026</w:t>
      </w:r>
    </w:p>
    <w:p>
      <w:pPr>
        <w:spacing w:before="20" w:after="20"/>
        <w:ind w:left="170"/>
      </w:pPr>
      <w:r>
        <w:rPr>
          <w:rFonts w:ascii="Calibri" w:hAnsi="Calibri"/>
          <w:b/>
          <w:color w:val="4A6B25"/>
          <w:sz w:val="15"/>
        </w:rPr>
        <w:t xml:space="preserve">3. </w:t>
      </w:r>
      <w:r>
        <w:rPr>
          <w:rFonts w:ascii="Calibri" w:hAnsi="Calibri"/>
          <w:b w:val="0"/>
          <w:color w:val="3A4A28"/>
          <w:sz w:val="17"/>
        </w:rPr>
        <w:t>WisdomTree SEC $4M Fine — ESG Fund Misstatements, Fossil Fuel and Tobacco in ESG-Marketed ETFs, Compliance Failures — SEC Press Release, FA-Mag, Compliance Week, ESG News, 2024</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CNBC — WT Key Statistics: Forward P/E 16.95, Trailing P/E 46.38, D/E 253%, ROE 13.78%, Profit Margin 11.26%, Dividend Yield 0.61%,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