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WWW</w:t>
      </w:r>
      <w:r>
        <w:rPr>
          <w:rFonts w:ascii="Calibri" w:hAnsi="Calibri"/>
          <w:b/>
          <w:color w:val="1A2010"/>
          <w:sz w:val="40"/>
        </w:rPr>
        <w:t xml:space="preserve">  Wolverine World Wide, Inc.</w:t>
      </w:r>
    </w:p>
    <w:p>
      <w:pPr>
        <w:spacing w:after="120"/>
      </w:pPr>
      <w:r>
        <w:rPr>
          <w:rFonts w:ascii="Calibri" w:hAnsi="Calibri"/>
          <w:b/>
          <w:color w:val="6E8450"/>
          <w:sz w:val="18"/>
        </w:rPr>
        <w:t>DIVIDEND SLEEVE · 2026-09-20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NYSE · United States</w:t>
      </w:r>
    </w:p>
    <w:p>
      <w:pPr>
        <w:spacing w:after="80"/>
      </w:pPr>
      <w:r>
        <w:rPr>
          <w:rFonts w:ascii="Calibri" w:hAnsi="Calibri"/>
          <w:b w:val="0"/>
          <w:color w:val="3A4A28"/>
          <w:sz w:val="20"/>
        </w:rPr>
        <w:t>Wolverine World Wide designs, manufactures, and markets footwear, apparel, and accessories globally through two segments: Active Group (Merrell, Saucony) and Work Group (Wolverine, Cat, Bates). Founded in 1883 and headquartered in Rockford, Michigan, the company is executing a turnaround under CEO Chris Hufnagel, having divested non-core brands (Sperry, Keds, Sweaty Betty) to focus on high-growth active and performance categories. Q2 2026 revenue rose 6.8% YoY to $506.4M with FY2026 guidance of $1.98B-$2.00B representing 5.6%-6.7% growth.</w:t>
      </w:r>
    </w:p>
    <w:p>
      <w:r>
        <w:rPr>
          <w:rFonts w:ascii="Calibri" w:hAnsi="Calibri"/>
          <w:b/>
          <w:color w:val="6E8450"/>
          <w:sz w:val="18"/>
        </w:rPr>
        <w:t>3,050 Employees · https://www.wolverineworldwide.com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Hufnagel's turnaround since May 2023 represents a significant strategic transformation — divesting Sperry, Keds, and Sweaty Betty to concentrate on Merrell and Saucony as growth engines, restructuring the portfolio from a sprawling brand house into a focused active/work platform [1]. Q2 2026 revenue grew 6.8% YoY to $506.4M with double-digit wholesale momentum in the Active Group [1]. AI Deployment (1/2): Hufnagel states AI is discussed 'every single day' and calls it 'probably the biggest disruptor' in the footwear business, with AI-driven efficiencies being explored across operations, but no shipping AI products or quantified savings have been reported [2]. Market Share (1/2): Merrell maintains a strong position in the outdoor footwear category and Saucony is gaining share in the running segment, but neither brand holds dominant market share or defines their category [1]. Product Pipeline (0/2): No specific next-generation product launches or platforms with dates and revenue visibility have been disclosed. R&amp;D Intensity (0/1): Footwear R&amp;D is embedded in product design rather than reported as a separate intensity metric; no evidence of above-industry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Wolverine's purpose centers on 'inspiring great experiences and the confidence that comes with them,' grounded in its WOLVER1NE culture of 'trust, accountability, and the relentless drive to Make Every Day Better' [2]. The mission is clear and connects the business to a larger purpose but is not distinctively differentiated from peer athletic/outdoor companies. Community Impact (1/2): The company publishes an annual Global Impact Report covering environmental commitments, responsible sourcing across 33 core production partners, and chemical substance prohibitions including PFAS [3]. No specific philanthropic dollar amounts or distinctive community investment programs were identified. Employee Retention (1/2): Wolverine earned Great Place to Work certification and launched a Junior Board of 11 early-career professionals to amplify emerging talent voices [2][3]. Glassdoor reviews note the culture is 'good and getting better' under Hufnagel, but no specific retention rates or tenure data were found. Insider Buying (0/2): No meaningful net insider buying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159.1% is elevated due to $745M in total debt against $158M cash, reflecting leverage from the turnaround period — scores 0.61 against the 70% target [4]. ROE of 27.6% exceeds the 15% target, scoring full marks [4]. Revenue growth YoY of 6.8% is solid but below the 10% target (0.89), and the 5-year revenue CAGR of approximately -4.2% reflects brand divestitures and the portfolio reset, scoring near zero [1][4]. Forward P/E of 10.2 is attractively valued, scoring full marks against the 20 target [4]. Profit margin of 5.5% is well below the 20% target (0.28), reflecting the lower-margin footwear business [4]. Dividend payout ratio of 31.3% is healthy (full marks), and consecutive years paid (~30) scores full marks at 2x weight, but consecutive years of growth resets to 0 after the 2023 dividend cut from $1.60 to $0.40 annual, and the 5-year dividend growth CAGR is deeply negative, both scoring 0 [4]. Liquidity passes: $18.93 x 830K avg volume = ~$15.7M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Wolverine World Wide demonstrates mixed infinite game characteristics. The 143-year company history shows endurance, and CEO Hufnagel's willingness to divest profitable brands (Sperry, Keds, Sweaty Betty) to sharpen strategic focus reflects existential flexibility. However, the turnaround is still early-stage — Hufnagel has led for only three years, the dividend was cut 75%, and the competitive language emphasizes growth metrics and market positioning rather than a transcendent purpose. The company is playing to survive and recover, which is pragmatic but more finite than infinite.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Wolverine's 'Make Every Day Better' purpose exists but reads as marketing — it is interchangeable with virtually any consumer products company and does not articulate a distinctive vision of a future worth sacrificing for [2]. The 143-year history suggests endurance, but longevity alone does not constitute a Just Cause. Leadership references growth metrics and brand momentum in strategic communication rather than connecting decisions back to a unifying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Wolverine earned Great Place to Work certification and launched a Junior Board program to elevate early-career voices, signaling investment in employee engagement [3]. Glassdoor reviews describe the culture as improving under Hufnagel's leadership, though the significant headcount reduction from the turnaround (down to 3,050 employees from a much larger workforce) means many employees experienced layoffs [2]. The organization is stabilizing but trust is still being rebuilt after the upheaval of brand divestitures and restructuring.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Hufnagel's competitive language focuses on self-improvement rather than defeating specific rivals. His emphasis on 'getting better at telling stories' and building brand heat in Merrell and Saucony frames competition as motivation to elevate Wolverine's own capabilities rather than a war against Nike or Adidas [2]. The company's acknowledgment that it must adopt AI or face disruption reflects a healthy awareness of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portfolio transformation under Hufnagel represents meaningful strategic adaptation — divesting Sperry, Keds, and Sweaty Betty to concentrate on Merrell and Saucony was a painful short-term decision (revenue declined ~25% from peak) that positioned the company for higher-quality growth [1]. This is genuine flexibility, though the pivot was driven more by financial necessity during a crisis than by proactive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Hufnagel took the CEO role during a crisis and made difficult decisions: cutting the dividend 75%, divesting brands with emotional legacy (Keds dates to 1916), and reducing headcount significantly [1][2]. These required courage, but they were crisis-driven rather than proactive long-term bets during a position of strength. The test of sustained courageous leadership will come as the turnaround matures.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Wolverine World Wide's turnaround is gaining traction with Q2 2026 revenue up 6.8% YoY to $506.4M and FY2026 guidance of $1.98B-$2.00B representing mid-single-digit organic growth [1]. The Active Group, led by Merrell and Saucony, is delivering double-digit wholesale momentum as the focused brand strategy gains distribution wins. Gross margin guidance of ~46.9% and operating margin improvement to ~9.5% signal the portfolio rationalization is translating to profitability. ROE of 27.6% is strong, and at 10.2x forward earnings the stock is attractively valued for a recovering consumer brand with improving fundamentals [4]. The balance sheet carries manageable leverage ($745M debt, $158M cash) with a healthy 31% payout ratio on the reduced dividend.</w:t>
      </w:r>
    </w:p>
    <w:p>
      <w:pPr>
        <w:spacing w:after="120"/>
      </w:pPr>
      <w:r>
        <w:rPr>
          <w:rFonts w:ascii="Calibri" w:hAnsi="Calibri"/>
          <w:b w:val="0"/>
          <w:color w:val="3A4A28"/>
          <w:sz w:val="20"/>
        </w:rPr>
        <w:t>The bear case centers on the incomplete turnaround and structural challenges. Revenue remains ~19% below the 2022 peak of $2.41B, meaning the company is still recovering lost ground rather than generating true organic growth [4]. Profit margin of 5.5% is thin for a branded consumer company, and the 159% D/E ratio leaves limited financial flexibility for brand investment or acquisitions. The 75% dividend cut in 2023 reset the income story — the $0.40 annual payout and deeply negative 5-year dividend growth CAGR make this unsuitable for income investors despite the 2.1% yield [4]. The footwear industry faces secular challenges from DTC channel shifts, promotional intensity, and consumer spending sensitivity to economic cycles. CEO Hufnagel has been in the role for only three years, and the turnaround's durability through a potential consumer downturn remains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double-digit wholesale momentum in Active Group as Merrell and Saucony expand distribution footprint and gain shelf space from weaker competitors [1]</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toward 10%+ as brand divestitures eliminate lower-margin revenue and fixed cost leverage improves on growing sales base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restoration as free cash flow ($131M TTM) strengthens and debt reduction progresses, which could re-rate the stock for income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spending downturn disproportionately impacts discretionary footwear purchases, particularly in the $100-$200 performance shoe segment where Merrell and Saucony compete [1]</w:t>
      </w:r>
    </w:p>
    <w:p>
      <w:pPr>
        <w:spacing w:before="40" w:after="40"/>
        <w:ind w:left="283"/>
      </w:pPr>
      <w:r>
        <w:rPr>
          <w:rFonts w:ascii="Calibri" w:hAnsi="Calibri"/>
          <w:b/>
          <w:color w:val="4A6B25"/>
          <w:sz w:val="20"/>
        </w:rPr>
        <w:t xml:space="preserve">2. </w:t>
      </w:r>
      <w:r>
        <w:rPr>
          <w:rFonts w:ascii="Calibri" w:hAnsi="Calibri"/>
          <w:b w:val="0"/>
          <w:color w:val="3A4A28"/>
          <w:sz w:val="20"/>
        </w:rPr>
        <w:t>Elevated D/E of 159% limits financial flexibility for brand investment during a period when competitors Nike, Adidas, and New Balance are aggressively investing in product innovation and DTC channels [4]</w:t>
      </w:r>
    </w:p>
    <w:p>
      <w:pPr>
        <w:spacing w:before="40" w:after="40"/>
        <w:ind w:left="283"/>
      </w:pPr>
      <w:r>
        <w:rPr>
          <w:rFonts w:ascii="Calibri" w:hAnsi="Calibri"/>
          <w:b/>
          <w:color w:val="4A6B25"/>
          <w:sz w:val="20"/>
        </w:rPr>
        <w:t xml:space="preserve">3. </w:t>
      </w:r>
      <w:r>
        <w:rPr>
          <w:rFonts w:ascii="Calibri" w:hAnsi="Calibri"/>
          <w:b w:val="0"/>
          <w:color w:val="3A4A28"/>
          <w:sz w:val="20"/>
        </w:rPr>
        <w:t>Turnaround execution risk — the focused portfolio strategy concentrates revenue in two primary brands (Merrell and Saucony), meaning underperformance in either brand has outsized impact on company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Wolverine's core business — designing, manufacturing, and selling physical footwear and apparel — is structurally protected from AI substitution. Consumers cannot replace shoes with software, and the physical supply chain of sourcing, manufacturing, and distribution requires tangible infrastructure [1]. Brand loyalty in outdoor (Merrell) and running (Saucony) categories creates switching costs that AI cannot easily replicate. The moderate risk comes from AI-powered competitors potentially disrupting product design cycles, personalized marketing, and direct-to-consumer retail channels. CEO Hufnagel explicitly acknowledges AI as 'a very big threat if we don't understand it and adopt it,' signaling awareness of AI's potential to compress competitive advantages in design speed and consumer engagement [2]. AI Opportunity (0/1): No quantifiable AI revenue has been reported. The company is exploring AI-driven efficiencies across operations but has not disclosed specific AI products or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Wolverine World Wide Q2 2026 10-Q Earnings Release — Revenue $506.4M (+6.8% YoY), EPS $0.37, FY2026 Guidance $1.98B-$2.00B Revenue, ~46.9% Gross Margin, ~9.5% Operating Margin, August 2026</w:t>
      </w:r>
    </w:p>
    <w:p>
      <w:pPr>
        <w:spacing w:before="20" w:after="20"/>
        <w:ind w:left="170"/>
      </w:pPr>
      <w:r>
        <w:rPr>
          <w:rFonts w:ascii="Calibri" w:hAnsi="Calibri"/>
          <w:b/>
          <w:color w:val="4A6B25"/>
          <w:sz w:val="15"/>
        </w:rPr>
        <w:t xml:space="preserve">2. </w:t>
      </w:r>
      <w:r>
        <w:rPr>
          <w:rFonts w:ascii="Calibri" w:hAnsi="Calibri"/>
          <w:b w:val="0"/>
          <w:color w:val="3A4A28"/>
          <w:sz w:val="17"/>
        </w:rPr>
        <w:t>Wolverine Worldwide CEO Chris Hufnagel on Growth, AI, and Strategy — Modern Retail Interview, Management Team Profile, Glassdoor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Wolverine Worldwide 2024 Global Impact Report, Great Place to Work Certification, Responsible Sourcing and ESG Profile — BusinessWire, CSRHub,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WWW Financial Data: Price $18.93, Forward P/E 10.2, D/E 159.1%, ROE 27.6%, Profit Margin 5.5%, Dividend Yield 2.11%, Avg Volume 830K,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