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XENE</w:t>
      </w:r>
      <w:r>
        <w:rPr>
          <w:rFonts w:ascii="Calibri" w:hAnsi="Calibri"/>
          <w:b/>
          <w:color w:val="1A2010"/>
          <w:sz w:val="40"/>
        </w:rPr>
        <w:t xml:space="preserve">  Xenon Pharmaceuticals Inc.</w:t>
      </w:r>
    </w:p>
    <w:p>
      <w:pPr>
        <w:spacing w:after="120"/>
      </w:pPr>
      <w:r>
        <w:rPr>
          <w:rFonts w:ascii="Calibri" w:hAnsi="Calibri"/>
          <w:b/>
          <w:color w:val="6E8450"/>
          <w:sz w:val="18"/>
        </w:rPr>
        <w:t>GROWTH SLEEVE · 2026-09-22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Canada</w:t>
      </w:r>
    </w:p>
    <w:p>
      <w:pPr>
        <w:spacing w:after="80"/>
      </w:pPr>
      <w:r>
        <w:rPr>
          <w:rFonts w:ascii="Calibri" w:hAnsi="Calibri"/>
          <w:b w:val="0"/>
          <w:color w:val="3A4A28"/>
          <w:sz w:val="20"/>
        </w:rPr>
        <w:t>Xenon Pharmaceuticals is a neuroscience-focused biopharmaceutical company discovering, developing, and delivering therapeutics for patients with neurological and psychiatric disorders. Founded in 1996 and headquartered in Burnaby, Canada, the company's lead asset azetukalner is approaching NDA submission in Q3 2026 for focal onset seizures, with potential FDA approval and launch by end 2027 or early 2028. The pipeline spans epilepsy, depression, and pain indications. CEO Ian Mortimer leads a 358-person team with $1.2B in cash providing runway into 2029.</w:t>
      </w:r>
    </w:p>
    <w:p>
      <w:r>
        <w:rPr>
          <w:rFonts w:ascii="Calibri" w:hAnsi="Calibri"/>
          <w:b/>
          <w:color w:val="6E8450"/>
          <w:sz w:val="18"/>
        </w:rPr>
        <w:t>358 Employees · https://www.xenon-pharma.com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Xenon has successfully advanced azetukalner from Phase 2 through Phase 3 with positive X-TOLE2 epilepsy data, reaching NDA-ready status for focal onset seizures — a meaningful clinical development achievement for a company of its size [1]. The pipeline has expanded from a single epilepsy indication to multiple programs spanning focal seizures, primary generalized tonic-clonic seizures, depression, and pain (XEN1720 Phase 1), demonstrating clinical portfolio diversification. AI Deployment (0/2): No evidence of AI-powered drug discovery tools, AI-driven clinical trial optimization, or AI deployment with measurable results. Xenon's approach is grounded in traditional ion channel biology expertise rather than AI-first drug discovery [1]. Market Share (0/2): Pre-commercial biotech with no marketed products — azetukalner has not yet been approved or launched, so there is no market share to evaluate [1]. Product Pipeline (2/2): Specific pipeline with clear timelines: azetukalner NDA filing Q3 2026 for focal onset seizures, anticipated FDA approval and launch by end 2027/early 2028; PGTC seizures in late-stage development; first depression study readout anticipated H1 2027; XEN1720 Phase 1 initiated for pain [1][2]. This represents multiple named products with specific milestones and revenue visibility. R&amp;D Intensity (1/1): As a clinical-stage biotech, virtually all spending is R&amp;D — the company is dedicated entirely to drug development with $337M in annual operating cash outflow funding multiple clinical programs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Xenon's mission centers on 'advancing neurology therapeutics to improve the lives of patients with neurological and psychiatric disorders' — clearly identifying the patient population served and connecting the company's work to a meaningful purpose (treating epilepsy and depression) [2]. More than generic pharma language but not a transformative vision that has been validated by decades of execution. Community Impact (0/2): No evidence of significant charitable programs, foundation activity, or community investment. Small clinical-stage company with 358 employees focused on R&amp;D spending. Employee Retention (2/2): Exceptional employee satisfaction — Glassdoor rating of 4.6/5 with 88% of employees recommending the company, 4.3/5 culture and values, 4.1/5 work-life balance, and 4.5/5 career opportunities [3]. The company promotes a 'respectful, collaborative, inclusive, and productive culture.' These ratings are exceptional for any industry and suggest employees genuinely believe in and feel connected to the mission. Insider Buying (0/2): Board expanded with new directors (Gillian Cannon and Justin Gover), but no evidence of meaningful net insider buying on the open market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typical of a pre-revenue clinical-stage biotech. D/E of 0.52% is exceptional — essentially zero debt against $1.2B in cash, scoring 1.0 [5]. However, ROE of -43.6% scores 0.0 at 2x weight, reflecting expected pre-revenue losses as the company funds multiple clinical programs [5]. Profit margin of 0% is at the floor, scoring 0.0 [5]. Revenue growth, 5yr revenue CAGR, Forward PEG, and Forward P/E are structurally unavailable or not meaningful for a pre-revenue biotech and are excluded. The infrastructure score reflects the inherent financial profile of a clinical-stage company burning cash to develop drugs — $337M annual operating cash outflow against zero product revenue. The $1.2B cash position provides runway into 2029 but does not factor into the mechanical infrastructure scoring. Liquidity clears the floor at $53.9M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Xenon demonstrates meaningful infinite game characteristics uncommon in biotech — a 30-year commitment to neuroscience drug development, exceptional employee culture (4.6/5 Glassdoor), and genuine patient-oriented purpose. CEO Mortimer has maintained strategic focus through years of clinical-stage losses and the inherent uncertainty of drug development. The company's high-trust culture and patient-centric mission align with Sinek's framework. However, the company has not yet faced the transformative test of pivoting from R&amp;D to commercial execution, and the narrow therapeutic focus (neuroscience) has not required existential flexibility.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Xenon's mission to develop therapeutics for neurological and psychiatric disorders is a genuine cause — improving the lives of epilepsy and depression patients connects the company's work to meaningful human outcomes [2]. The company has pursued this cause consistently for 30 years (founded 1996), maintaining focus on neuroscience through multiple industry cycles and the inherent uncertainty of clinical-stage drug development. This is partially lived — the cause has shaped strategic focus (exclusively neuroscience) and talent attraction (4.6/5 Glassdoor). However, the cause has not yet been validated by commercial execution (no approved drugs), and a Just Cause requires the test of sacrifice and crisis.</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Xenon demonstrates exceptional organizational trust — Glassdoor 4.6/5 with 88% of employees recommending the company, 4.3/5 for culture and values, and 4.5/5 for career opportunities [3]. The company explicitly promotes a 'respectful, collaborative, inclusive, and productive culture.' For a 358-person organization operating in the high-stress, high-stakes environment of clinical-stage drug development, these ratings are remarkable and suggest genuine psychological safety. Employees cite the culture as a reason they stay and recommend the company. Board expansion with experienced directors (Cannon and Gover) suggests institutional confidence.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Sinek's worthy rival mindset in management commentary. Xenon competes in a pharmaceutical landscape where success is determined by clinical data and regulatory outcomes rather than direct competitive dynamics. The company does not publicly reference competitors' strengths as motivation for self-improvement. Biotech competition is fundamentally about clinical execution rather than rival-oriented learning.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Xenon has maintained a consistent focus on neuroscience ion channel therapeutics since its 1996 founding — the company has not fundamentally reinvented itself or abandoned a core business [2]. The pipeline expansion from epilepsy to depression and pain represents incremental therapeutic diversification rather than existential flexibility. The company is too early in its lifecycle (pre-revenue) to have faced the kind of existential test Sinek describes. Clinical-stage biotechs rarely demonstrate existential flexibility because their entire existence depends on advancing specific drug candidates.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Xenon has maintained strategic commitment to neuroscience drug development through 30 years of losses, clinical setbacks, and the inherent uncertainty of the pharmaceutical industry [1]. Investing $337M annually in clinical programs while generating zero product revenue requires sustained conviction. The decision to expand into depression and pain indications alongside the core epilepsy franchise demonstrates willingness to invest for long-term portfolio diversification. However, these are standard biotech capital allocation decisions rather than costly contrarian stands.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Xenon represents a high-conviction clinical-stage biotech approaching a transformative inflection point — the NDA submission for azetukalner in focal onset seizures in Q3 2026 with anticipated FDA approval and launch by end 2027/early 2028 [1]. The pipeline is diversified across epilepsy (FOS and PGTC), depression (readout H1 2027), and pain (XEN1720 Phase 1), providing multiple shots on goal beyond the lead asset. The $1.2B cash position funds operations into 2029, eliminating dilution risk through the approval and launch phase [1]. Exceptional organizational culture (4.6/5 Glassdoor, 88% recommend) suggests a high-functioning team capable of executing the commercial transition [3]. At $38.99 per share with a $3.8B market cap, the stock prices in meaningful probability of azetukalner approval, but success across the broader pipeline (depression, PGTC, pain) would represent significant upside. Inspire Impact Score of 36 (ALIGNED) appeals to faith-based investors.</w:t>
      </w:r>
    </w:p>
    <w:p>
      <w:pPr>
        <w:spacing w:after="120"/>
      </w:pPr>
      <w:r>
        <w:rPr>
          <w:rFonts w:ascii="Calibri" w:hAnsi="Calibri"/>
          <w:b w:val="0"/>
          <w:color w:val="3A4A28"/>
          <w:sz w:val="20"/>
        </w:rPr>
        <w:t>The bear case centers on binary clinical and regulatory risk, pre-revenue financial profile, and competitive dynamics. Azetukalner's NDA filing in Q3 2026 is a binary catalyst — any FDA rejection, complete response letter, or significant label restriction would devastate the stock given the entire $3.8B market cap depends on commercialization success [1]. The company generates zero product revenue against $337M annual operating cash burn, and the infrastructure score of 3 reflects a financial profile that depends entirely on pipeline success rather than business fundamentals [5]. Forward P/E is negative (pre-profit), ROE is -43.6%, and profit margin is 0% — standard for clinical-stage biotech but representing genuine investment risk. The epilepsy treatment landscape is competitive (cenobamate from SK Biopharmaceuticals, established generics, perampanel), and azetukalner must demonstrate differentiation on efficacy, tolerability, or convenience to capture meaningful market share. The depression indication faces even fiercer competition from esketamine, psilocybin-assisted therapy, and multiple pipeline assets from larger pharmaceutical companies with superior commercial infrastructure. Recent stock decline from $61.70 (50-day SMA) to $38.99 suggests market skepticism about near-term catalysts.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Azetukalner NDA submission for focal onset seizures in Q3 2026, with FDA approval anticipated by end 2027/early 2028 — a successful filing would validate the clinical program and could re-rate the stock ahead of the approval decision [1]</w:t>
      </w:r>
    </w:p>
    <w:p>
      <w:pPr>
        <w:spacing w:before="40" w:after="40"/>
        <w:ind w:left="283"/>
      </w:pPr>
      <w:r>
        <w:rPr>
          <w:rFonts w:ascii="Calibri" w:hAnsi="Calibri"/>
          <w:b/>
          <w:color w:val="4A6B25"/>
          <w:sz w:val="20"/>
        </w:rPr>
        <w:t xml:space="preserve">2. </w:t>
      </w:r>
      <w:r>
        <w:rPr>
          <w:rFonts w:ascii="Calibri" w:hAnsi="Calibri"/>
          <w:b w:val="0"/>
          <w:color w:val="3A4A28"/>
          <w:sz w:val="20"/>
        </w:rPr>
        <w:t>Depression study readout anticipated H1 2027 — a positive result would significantly expand Xenon's addressable market beyond epilepsy into the much larger major depressive disorder market and diversify the pipeline's value proposition [1]</w:t>
      </w:r>
    </w:p>
    <w:p>
      <w:pPr>
        <w:spacing w:before="40" w:after="40"/>
        <w:ind w:left="283"/>
      </w:pPr>
      <w:r>
        <w:rPr>
          <w:rFonts w:ascii="Calibri" w:hAnsi="Calibri"/>
          <w:b/>
          <w:color w:val="4A6B25"/>
          <w:sz w:val="20"/>
        </w:rPr>
        <w:t xml:space="preserve">3. </w:t>
      </w:r>
      <w:r>
        <w:rPr>
          <w:rFonts w:ascii="Calibri" w:hAnsi="Calibri"/>
          <w:b w:val="0"/>
          <w:color w:val="3A4A28"/>
          <w:sz w:val="20"/>
        </w:rPr>
        <w:t>Cash position of $1.2B funding operations into 2029 eliminates the need for dilutive capital raises through the critical approval/launch phase, providing financial security that most clinical-stage biotechs lack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regulatory risk — the entire $3.8B market cap depends on successful FDA review of azetukalner; any complete response letter, label restriction, or clinical hold would cause severe stock price damage with no revenue cushion [1]</w:t>
      </w:r>
    </w:p>
    <w:p>
      <w:pPr>
        <w:spacing w:before="40" w:after="40"/>
        <w:ind w:left="283"/>
      </w:pPr>
      <w:r>
        <w:rPr>
          <w:rFonts w:ascii="Calibri" w:hAnsi="Calibri"/>
          <w:b/>
          <w:color w:val="4A6B25"/>
          <w:sz w:val="20"/>
        </w:rPr>
        <w:t xml:space="preserve">2. </w:t>
      </w:r>
      <w:r>
        <w:rPr>
          <w:rFonts w:ascii="Calibri" w:hAnsi="Calibri"/>
          <w:b w:val="0"/>
          <w:color w:val="3A4A28"/>
          <w:sz w:val="20"/>
        </w:rPr>
        <w:t>Competitive landscape in epilepsy (cenobamate, established generics) and depression (esketamine, psilocybin, large pharma pipeline assets) could limit azetukalner's commercial peak sales even with FDA approval, requiring differentiation on efficacy and tolerability [1]</w:t>
      </w:r>
    </w:p>
    <w:p>
      <w:pPr>
        <w:spacing w:before="40" w:after="40"/>
        <w:ind w:left="283"/>
      </w:pPr>
      <w:r>
        <w:rPr>
          <w:rFonts w:ascii="Calibri" w:hAnsi="Calibri"/>
          <w:b/>
          <w:color w:val="4A6B25"/>
          <w:sz w:val="20"/>
        </w:rPr>
        <w:t xml:space="preserve">3. </w:t>
      </w:r>
      <w:r>
        <w:rPr>
          <w:rFonts w:ascii="Calibri" w:hAnsi="Calibri"/>
          <w:b w:val="0"/>
          <w:color w:val="3A4A28"/>
          <w:sz w:val="20"/>
        </w:rPr>
        <w:t>Stock decline from $61.70 (50-day SMA) to $38.99 (37% drawdown) suggests market skepticism that could indicate emerging clinical or regulatory concerns not yet publicly disclosed, or simply reflect the volatile biotech sentiment environment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Pharmaceutical drug development for neurological disorders is protected by formidable regulatory barriers — FDA drug approval requires years of clinical trials, and no AI tool can substitute for an approved therapeutic [1]. Epilepsy patients need actual drugs, not AI-generated treatment recommendations. Xenon's proprietary ion channel expertise and clinical data represent intellectual property that AI cannot replicate. Patent protection on azetukalner and pipeline compounds creates legal moats. The FDA approval process is a structural barrier that maintains value for companies with successful clinical programs. However, AI-powered drug discovery by larger competitors (Recursion, Insilico Medicine, large pharma AI divisions) could accelerate development of competing molecules in epilepsy, depression, and pain, potentially shortening the competitive exclusivity window for Xenon's drugs. AI Opportunity (0/1): Xenon does not generate quantifiable revenue from AI-related products or services. While AI could theoretically accelerate the company's drug discovery efforts, no specific AI-driven revenue, cost savings, or pipeline acceleration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Xenon Pharmaceuticals Q2 2026 Results &amp; Pipeline Update — Azetukalner NDA Filing Q3 2026 for Focal Onset Seizures, PGTC Late-Stage, Depression Readout H1 2027, XEN1720 Phase 1 Pain, Cash $1.2B Runway to 2029, EPS -$4.33 FY2026E — Investor Relations, Seeking Alpha, Simply Wall St, August 2026</w:t>
      </w:r>
    </w:p>
    <w:p>
      <w:pPr>
        <w:spacing w:before="20" w:after="20"/>
        <w:ind w:left="170"/>
      </w:pPr>
      <w:r>
        <w:rPr>
          <w:rFonts w:ascii="Calibri" w:hAnsi="Calibri"/>
          <w:b/>
          <w:color w:val="4A6B25"/>
          <w:sz w:val="15"/>
        </w:rPr>
        <w:t xml:space="preserve">2. </w:t>
      </w:r>
      <w:r>
        <w:rPr>
          <w:rFonts w:ascii="Calibri" w:hAnsi="Calibri"/>
          <w:b w:val="0"/>
          <w:color w:val="3A4A28"/>
          <w:sz w:val="17"/>
        </w:rPr>
        <w:t>Xenon Pharmaceuticals Q1 2026 Results &amp; Strategy — Operating Cash Burn $337M, Pipeline Expansion, Positive X-TOLE2 Data, FDA Filing Plan, CEO Ian Mortimer Commentary — Investing.com, Motley Fool, Yahoo Finance, May 2026</w:t>
      </w:r>
    </w:p>
    <w:p>
      <w:pPr>
        <w:spacing w:before="20" w:after="20"/>
        <w:ind w:left="170"/>
      </w:pPr>
      <w:r>
        <w:rPr>
          <w:rFonts w:ascii="Calibri" w:hAnsi="Calibri"/>
          <w:b/>
          <w:color w:val="4A6B25"/>
          <w:sz w:val="15"/>
        </w:rPr>
        <w:t xml:space="preserve">3. </w:t>
      </w:r>
      <w:r>
        <w:rPr>
          <w:rFonts w:ascii="Calibri" w:hAnsi="Calibri"/>
          <w:b w:val="0"/>
          <w:color w:val="3A4A28"/>
          <w:sz w:val="17"/>
        </w:rPr>
        <w:t>Xenon Pharmaceuticals Culture &amp; Leadership — CEO Ian Mortimer, Glassdoor 4.6/5 (88% Recommend), 4.3/5 Culture, Board Expansion (Cannon and Gover), Respectful Collaborative Culture — Glassdoor, Investor Relations, TipRanks, 2026</w:t>
      </w:r>
    </w:p>
    <w:p>
      <w:pPr>
        <w:spacing w:before="20" w:after="20"/>
        <w:ind w:left="170"/>
      </w:pPr>
      <w:r>
        <w:rPr>
          <w:rFonts w:ascii="Calibri" w:hAnsi="Calibri"/>
          <w:b/>
          <w:color w:val="4A6B25"/>
          <w:sz w:val="15"/>
        </w:rPr>
        <w:t xml:space="preserve">4. </w:t>
      </w:r>
      <w:r>
        <w:rPr>
          <w:rFonts w:ascii="Calibri" w:hAnsi="Calibri"/>
          <w:b w:val="0"/>
          <w:color w:val="3A4A28"/>
          <w:sz w:val="17"/>
        </w:rPr>
        <w:t>Xenon Pharmaceuticals ESG — SEC 10-K and 10-Q Disclosures, ESG Regulatory Compliance, No Specific Controversies Identified — SEC Filings, CSRHub, Sustainalytics,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XENE Key Statistics: Forward P/E N/A (pre-profit), D/E 0.52%, ROE -43.6%, Profit Margin 0%, Market Cap $3.8B, 50-Day SMA $61.70, Stock Price $38.99, Avg Volume 1.38M,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