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XIFR</w:t>
      </w:r>
      <w:r>
        <w:rPr>
          <w:rFonts w:ascii="Calibri" w:hAnsi="Calibri"/>
          <w:b/>
          <w:color w:val="1A2010"/>
          <w:sz w:val="40"/>
        </w:rPr>
        <w:t xml:space="preserve">  XPLR Infrastructure, LP</w:t>
      </w:r>
    </w:p>
    <w:p>
      <w:pPr>
        <w:spacing w:after="120"/>
      </w:pPr>
      <w:r>
        <w:rPr>
          <w:rFonts w:ascii="Calibri" w:hAnsi="Calibri"/>
          <w:b/>
          <w:color w:val="6E8450"/>
          <w:sz w:val="18"/>
        </w:rPr>
        <w:t>GROWTH SLEEVE · 2026-09-21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Renewable · NYSE · United States</w:t>
      </w:r>
    </w:p>
    <w:p>
      <w:pPr>
        <w:spacing w:after="80"/>
      </w:pPr>
      <w:r>
        <w:rPr>
          <w:rFonts w:ascii="Calibri" w:hAnsi="Calibri"/>
          <w:b w:val="0"/>
          <w:color w:val="3A4A28"/>
          <w:sz w:val="20"/>
        </w:rPr>
        <w:t>XPLR Infrastructure, LP (formerly NextEra Energy Partners, LP) is a limited partnership that owns, operates, and acquires contracted clean energy infrastructure assets including wind, solar, and battery storage projects across North America. Rebranded from NextEra Energy Partners in January 2025 after suspending all common unit distributions and pivoting away from its yieldco model. CEO Alan Liu (appointed January 2025) is leading the turnaround. 2026 guidance: Adjusted EBITDA $1.75-1.95B, FCF before growth $600-700M. Q2 2026 record quarterly EBITDA of $523M. Headquartered in Juno Beach, Florida.</w:t>
      </w:r>
    </w:p>
    <w:p>
      <w:r>
        <w:rPr>
          <w:rFonts w:ascii="Calibri" w:hAnsi="Calibri"/>
          <w:b/>
          <w:color w:val="6E8450"/>
          <w:sz w:val="18"/>
        </w:rPr>
        <w:t>500 Employees · https://www.xplrinfrastructure.com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XPLR's recent strategic activity has been largely reactive — the January 2025 rebranding, distribution suspension, and pivot away from the yieldco model were driven by financial distress rather than proactive innovation [1][3]. However, Q2 2026 delivered record quarterly EBITDA of $523M with $257M FCF before growth, and the company has stabilized operations with revenue growing 6.1% YoY [1]. Battery storage co-investments (targeting 200 net MW by 2027) and recontracting at $25/MW price uplift show modest strategic progress under new leadership. AI Deployment (0/2): No evidence of AI-powered products or quantified AI-driven operational improvements. Market Share (1/2): XPLR owns a meaningful portfolio of contracted wind, solar, and battery storage projects with ~$1.2B in annual revenue, but remains a mid-tier player dominated by NextEra Energy, Brookfield Renewable, and AES [1]. Product Pipeline (1/2): Wind repowering capex of $1.7-1.9B through end of 2026 represents substantial capital deployment, and battery storage expansion targeting 200 MW by 2027 provides growth visibility, though execution risk remains elevated given organizational upheaval [1]. R&amp;D Intensity (0/1): As an infrastructure partnership, XPLR does not conduct R&amp;D — capital is deployed into operating and repowering existing renewable energy assets.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XPLR's purpose centers on owning and operating clean energy infrastructure, which has inherent environmental alignment. However, the company articulates no distinctive mission beyond its business description — the rebranding to 'XPLR Infrastructure' was driven by financial necessity (distancing from the failed yieldco model) rather than purpose [3]. CEO Liu's focus is on financial stabilization and operational execution, not vision. Community Impact (0/2): No distinctive community investment programs or social impact initiatives identified. The company has been consumed by financial restructuring and operational stabilization since the distribution suspension. Employee Retention (0/2): The entire executive leadership team was replaced in January 2025 — CEO John Ketchum, President Rebecca Kujawa, and CFO Brian Bolster all resigned simultaneously, replaced by CEO Alan Liu and CFO Jessica Geoffroy [2]. Management team average tenure of 0.1 years signals severe organizational instability. Insider Buying (1/2): New CEO Alan Liu (former Goldman Sachs managing director) presumably received equity compensation aligning his interests with unitholders, but the securities class action lawsuit and leadership upheaval create significant credibility uncertainty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Growth-sleeve metrics. D/E improved dramatically to 56.83% (score 1.0), well below the 70% target, reflecting debt restructuring or equity adjustments [5]. However, ROE deteriorated to -1.61% (score 0.0, 2x weight), and forward P/E is -5.88, indicating expected losses ahead (score 0.0) [5]. Revenue growth of 6.1% YoY represents improvement but remains below the 10% target (score 0.87). Estimated 5-year revenue CAGR of approximately -3% reflects the revenue decline from ~$1.4B peak to $1.19B (score 0.13, 2x weight). Profit margin of 5.16% turned positive but remains well below the 20% target (score 0.26) [1]. PEG is not meaningful with negative forward earnings. Daily dollar volume of ~$9.8M provides adequate liquidity above the $1M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XPLR Infrastructure displays predominantly finite game characteristics. The partnership's recent history — distribution suspension, securities class action lawsuit, and complete C-suite resignation — are hallmarks of an organization that was playing to win this quarter rather than built to endure. The January 2025 rebranding represents an attempt to reset, but the company has not articulated a Just Cause for its existence beyond financial recovery. Q2 2026's record $523M EBITDA demonstrates the underlying assets generate value, but the organizational and governance failures that necessitated the turnaround reveal deep finite-game DNA.</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XPLR Infrastructure has no articulated Just Cause. The rebranding from NextEra Energy Partners was driven by the failure of its yieldco business model — the company suspended all common unit distributions in January 2025 after admitting it could not sustain payouts, and is subject to a securities class action alleging management concealed the unsustainability of the model [3]. Clean energy infrastructure could serve as the foundation for a Just Cause, but no such articulation exists. The current purpose appears to be financial survival and recovery under new CEO Alan Liu.</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simultaneous resignation of CEO Ketchum, President Kujawa, and CFO Bolster in January 2025 represents a catastrophic failure of organizational trust [2]. The securities class action alleging materially false statements about business model sustainability compounds the credibility crisis. Management team average tenure of 0.1 years means the entire leadership is untested together. New CEO Liu and CFO Geoffroy must rebuild trust from near-zero, and the ~500-employee workforce has experienced maximum leadership disruption.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XPLR operates in a competitive renewable energy market alongside much larger players including NextEra Energy (its former parent), Brookfield Renewable, and AES Corporation [1]. The partnership's strategy under new leadership focuses on operational improvement, battery storage expansion, and recontracting at higher prices — reflecting self-improvement orientation rather than competitive aggression. The company's small scale relative to peers forces a niche-focused approach.</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XPLR's pivot from yieldco to standalone clean energy operator — suspending distributions, replacing leadership, rebranding — represents a significant strategic shift [1][3]. Wind repowering capex of $1.7-1.9B and battery storage expansion show asset-level adaptation. However, Sinek distinguishes between flexibility driven by purpose and flexibility driven by desperation. XPLR's pivot was clearly the latter — the yieldco model collapsed, leaving no choice but to adapt. This is survival, not existential flexibility in Sinek's sense.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Suspending all common unit distributions in January 2025 was painful but necessary — choosing financial survival over maintaining an unsustainable payout required courage, even if unavoidable [3]. The $1.7-1.9B commitment to wind repowering under a new, untested management team shows willingness to invest in asset renewal. However, the distribution suspension was accompanied by alleged misstatements about business model sustainability, and the courage came too late — earlier acknowledgment would have demonstrated greater leadership integrity.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XPLR Infrastructure is a deep-value turnaround with compelling asset-level economics. Q2 2026 delivered record quarterly EBITDA of $523M with $257M FCF before growth, and 2026 guidance of $1.75-1.95B EBITDA against a $1.03B market cap implies an EV/EBITDA discount to replacement value [1][5]. D/E has improved dramatically to 56.83% from ~198% a year ago, suggesting meaningful deleveraging. Revenue growth turned positive at 6.1% YoY with profit margin now at 5.16% (from -13.04%). The AI data center construction boom drives surging electricity demand, structurally benefiting clean energy generators with long-term PPAs. Battery storage expansion (200 MW by 2027) and wind recontracting at $25/MW uplift provide organic growth catalysts under new CEO Alan Liu.</w:t>
      </w:r>
    </w:p>
    <w:p>
      <w:pPr>
        <w:spacing w:after="120"/>
      </w:pPr>
      <w:r>
        <w:rPr>
          <w:rFonts w:ascii="Calibri" w:hAnsi="Calibri"/>
          <w:b w:val="0"/>
          <w:color w:val="3A4A28"/>
          <w:sz w:val="20"/>
        </w:rPr>
        <w:t>The risks are severe and multi-dimensional. A securities class action lawsuit alleges management made materially false statements about business model sustainability, creating financial liability and reputational damage [3]. The complete C-suite replacement in January 2025 (CEO, President, CFO all resigned simultaneously) signals governance failure at the highest level, and management team average tenure of 0.1 years means untested leadership [2]. Forward P/E of -5.88 indicates analysts expect renewed losses, despite the currently positive 5.16% profit margin and trailing P/E of 15.63 [5]. Capital expenditures of $1.7-1.9B for wind repowering through end of 2026 represent enormous capital intensity that could pressure FCF. ROE has deteriorated to -1.61%, and 5-year revenue CAGR of approximately -3% confirms the structural revenue decline from ~$1.4B peak. The partnership structure limits strategic flexibility compared to C-corp peers, and the distribution suspension destroyed unitholder trust that will take years to rebuild.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construction driving surging electricity demand, positioning XPLR's contracted clean energy assets to benefit from existing PPA revenue and recontracting opportunities at higher prices [1]</w:t>
      </w:r>
    </w:p>
    <w:p>
      <w:pPr>
        <w:spacing w:before="40" w:after="40"/>
        <w:ind w:left="283"/>
      </w:pPr>
      <w:r>
        <w:rPr>
          <w:rFonts w:ascii="Calibri" w:hAnsi="Calibri"/>
          <w:b/>
          <w:color w:val="4A6B25"/>
          <w:sz w:val="20"/>
        </w:rPr>
        <w:t xml:space="preserve">2. </w:t>
      </w:r>
      <w:r>
        <w:rPr>
          <w:rFonts w:ascii="Calibri" w:hAnsi="Calibri"/>
          <w:b w:val="0"/>
          <w:color w:val="3A4A28"/>
          <w:sz w:val="20"/>
        </w:rPr>
        <w:t>Dramatic deleveraging (D/E from ~198% to 56.83%) and improving profitability (profit margin from -13.04% to 5.16%) suggest the turnaround is gaining traction under new CEO Alan Liu</w:t>
      </w:r>
    </w:p>
    <w:p>
      <w:pPr>
        <w:spacing w:before="40" w:after="40"/>
        <w:ind w:left="283"/>
      </w:pPr>
      <w:r>
        <w:rPr>
          <w:rFonts w:ascii="Calibri" w:hAnsi="Calibri"/>
          <w:b/>
          <w:color w:val="4A6B25"/>
          <w:sz w:val="20"/>
        </w:rPr>
        <w:t xml:space="preserve">3. </w:t>
      </w:r>
      <w:r>
        <w:rPr>
          <w:rFonts w:ascii="Calibri" w:hAnsi="Calibri"/>
          <w:b w:val="0"/>
          <w:color w:val="3A4A28"/>
          <w:sz w:val="20"/>
        </w:rPr>
        <w:t>Wind repowering capex of $1.7-1.9B and battery storage expansion targeting 200 MW by 2027 modernize the asset base and add higher-margin, faster-growing storage capacity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class action lawsuit alleging materially false statements about business model sustainability creates financial liability risk and impairs capital market access [3]</w:t>
      </w:r>
    </w:p>
    <w:p>
      <w:pPr>
        <w:spacing w:before="40" w:after="40"/>
        <w:ind w:left="283"/>
      </w:pPr>
      <w:r>
        <w:rPr>
          <w:rFonts w:ascii="Calibri" w:hAnsi="Calibri"/>
          <w:b/>
          <w:color w:val="4A6B25"/>
          <w:sz w:val="20"/>
        </w:rPr>
        <w:t xml:space="preserve">2. </w:t>
      </w:r>
      <w:r>
        <w:rPr>
          <w:rFonts w:ascii="Calibri" w:hAnsi="Calibri"/>
          <w:b w:val="0"/>
          <w:color w:val="3A4A28"/>
          <w:sz w:val="20"/>
        </w:rPr>
        <w:t>Forward P/E of -5.88 indicates expected losses ahead despite current positive profit margin; ROE at -1.61% and 5-year revenue CAGR of -3% confirm structural challenges [5]</w:t>
      </w:r>
    </w:p>
    <w:p>
      <w:pPr>
        <w:spacing w:before="40" w:after="40"/>
        <w:ind w:left="283"/>
      </w:pPr>
      <w:r>
        <w:rPr>
          <w:rFonts w:ascii="Calibri" w:hAnsi="Calibri"/>
          <w:b/>
          <w:color w:val="4A6B25"/>
          <w:sz w:val="20"/>
        </w:rPr>
        <w:t xml:space="preserve">3. </w:t>
      </w:r>
      <w:r>
        <w:rPr>
          <w:rFonts w:ascii="Calibri" w:hAnsi="Calibri"/>
          <w:b w:val="0"/>
          <w:color w:val="3A4A28"/>
          <w:sz w:val="20"/>
        </w:rPr>
        <w:t>Complete C-suite replacement in January 2025 with management team average tenure of 0.1 years means untested leadership executing a complex $1.7-1.9B wind repowering while managing turnaround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XPLR's core business — owning and operating physical wind farms, solar installations, and battery storage systems — is structurally immune to AI disruption [1]. AI cannot replace wind turbines, solar panels, or battery systems. The business requires massive capital investment, land rights, grid interconnection agreements, and environmental permits creating insurmountable barriers to AI-driven displacement. The AI data center construction boom is a direct tailwind, driving surging electricity demand that positions clean energy generators as beneficiaries. Long-term power purchase agreements (PPAs) with creditworthy counterparties provide revenue predictability regardless of technology shifts. AI Opportunity (0/1): No evidence of XPLR deploying AI tools with quantified operational improvements or generating AI-related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XPLR Infrastructure Q4 2025 and Q2 2026 Results — EBITDA $396M (Q4) and Record $523M (Q2), 2026 Guidance EBITDA $1.75-1.95B, FCF $600-700M — SEC Filings,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XPLR Infrastructure Leadership Changes — CEO Alan Liu, CFO Jessica Geoffroy Appointments, Simultaneous Departure of Ketchum/Kujawa/Bolster — PRNewswire, Simply Wall St, January 2025</w:t>
      </w:r>
    </w:p>
    <w:p>
      <w:pPr>
        <w:spacing w:before="20" w:after="20"/>
        <w:ind w:left="170"/>
      </w:pPr>
      <w:r>
        <w:rPr>
          <w:rFonts w:ascii="Calibri" w:hAnsi="Calibri"/>
          <w:b/>
          <w:color w:val="4A6B25"/>
          <w:sz w:val="15"/>
        </w:rPr>
        <w:t xml:space="preserve">3. </w:t>
      </w:r>
      <w:r>
        <w:rPr>
          <w:rFonts w:ascii="Calibri" w:hAnsi="Calibri"/>
          <w:b w:val="0"/>
          <w:color w:val="3A4A28"/>
          <w:sz w:val="17"/>
        </w:rPr>
        <w:t>XPLR Infrastructure Securities Class Action Lawsuit, Distribution Suspension, and Rebranding — Robbins LLP, PRNewswire, 2025</w:t>
      </w:r>
    </w:p>
    <w:p>
      <w:pPr>
        <w:spacing w:before="20" w:after="20"/>
        <w:ind w:left="170"/>
      </w:pPr>
      <w:r>
        <w:rPr>
          <w:rFonts w:ascii="Calibri" w:hAnsi="Calibri"/>
          <w:b/>
          <w:color w:val="4A6B25"/>
          <w:sz w:val="15"/>
        </w:rPr>
        <w:t xml:space="preserve">4. </w:t>
      </w:r>
      <w:r>
        <w:rPr>
          <w:rFonts w:ascii="Calibri" w:hAnsi="Calibri"/>
          <w:b w:val="0"/>
          <w:color w:val="3A4A28"/>
          <w:sz w:val="17"/>
        </w:rPr>
        <w:t>XPLR Infrastructure ESG Resources and Sustainalytics Rating — investor.xplrinfrastructure.com,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WallStreetZen — XIFR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