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XPEV</w:t>
      </w:r>
      <w:r>
        <w:rPr>
          <w:rFonts w:ascii="Calibri" w:hAnsi="Calibri"/>
          <w:b/>
          <w:color w:val="1A2010"/>
          <w:sz w:val="40"/>
        </w:rPr>
        <w:t xml:space="preserve">  XPeng Inc.</w:t>
      </w:r>
    </w:p>
    <w:p>
      <w:pPr>
        <w:spacing w:after="120"/>
      </w:pPr>
      <w:r>
        <w:rPr>
          <w:rFonts w:ascii="Calibri" w:hAnsi="Calibri"/>
          <w:b/>
          <w:color w:val="6E8450"/>
          <w:sz w:val="18"/>
        </w:rPr>
        <w:t>GROWTH SLEEVE · 2026-10-17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NYQ · China</w:t>
      </w:r>
    </w:p>
    <w:p>
      <w:pPr>
        <w:spacing w:after="80"/>
      </w:pPr>
      <w:r>
        <w:rPr>
          <w:rFonts w:ascii="Calibri" w:hAnsi="Calibri"/>
          <w:b w:val="0"/>
          <w:color w:val="3A4A28"/>
          <w:sz w:val="20"/>
        </w:rPr>
        <w:t>XPeng Inc. operates as a Physical AI company designing, developing, manufacturing, and marketing smart electric vehicles, robotaxis, and humanoid robots. The company has developed a proprietary Physical AI architecture spanning Turing AI chips, foundation models, and integrated software/hardware applications. In FY2025, XPeng delivered 429,445 vehicles (up 126% YoY) generating RMB 76.72B in revenue (up 87.7% YoY). Q2 2026 revenue reached RMB 19.74B with gross margin expanding to 20.7%.</w:t>
      </w:r>
    </w:p>
    <w:p>
      <w:r>
        <w:rPr>
          <w:rFonts w:ascii="Calibri" w:hAnsi="Calibri"/>
          <w:b/>
          <w:color w:val="6E8450"/>
          <w:sz w:val="18"/>
        </w:rPr>
        <w:t>20,632 Employees · https://www.xpeng.com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XPeng scaled from early-stage startup to 429,445 annual deliveries in FY2025 (up 126% YoY), launched multiple vehicle platforms (P7, G6, G9, X9, MONA M03), and achieved its first-ever positive net profit quarter in Q4 2025 [1]. However, Q2 2026 deliveries of ~103,000 were essentially flat YoY, signaling the growth deceleration typical as scale increases and competition intensifies. AI Deployment (2/2): XNGP autonomous driving system ships to customers across the lineup, CEO He Xiaopeng targets L4 autonomous capability by 2028 with development speed accelerated sixfold through a restructured AI R&amp;D framework [2]. The company launched an AI engineering licensing business at the Paris Motor Show, opening its full-stack autonomous driving and Physical AI technology to global partners [2]. Market Share (1/2): Meaningful player in China's fiercely competitive EV market with strong brand recognition for autonomous driving capability, but not a market leader — BYD delivered over 4M vehicles in 2025 while Tesla China maintains premium dominance [1]. Product Pipeline (2/2): Specific next-gen products with timelines: L4-capable VLA 2.0 autonomous driving for mass production, IRON humanoid robot, L03 model for overseas markets in Q4 2026, and commercial robotaxi operations planned — all showcased at Auto China 2026 with named launch windows [2]. XPeng was also elected secretary-general of a new UN autonomous driving working group [2]. R&amp;D Intensity (1/1): Full-stack self-developed AI capability including proprietary Turing AI chips, foundation models, and autonomous driving technology — R&amp;D investment is well above auto industry average and defines the company's competitive positioning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XPeng's vision of creating smart and sustainable mobility experiences through Physical AI is specific, distinctive among Chinese EV makers for its emphasis on autonomous intelligence, and has consistently guided strategic decisions including massive R&amp;D investment through years of losses [2]. He Xiaopeng's framing of AI as 'upskilling and empowering everyone' rather than replacement reflects genuine intentionality. However, the company is only 11 years old (founded 2015) and the mission has not been tested through decades or major adversity. Community Impact (1/2): XPeng earned MSCI's highest AAA ESG rating for a third consecutive year, with 25,718 MWh clean energy consumption and photovoltaic generation at manufacturing facilities, and EVs produced are estimated to reduce GHG emissions by 3.11M tons over their lifecycle [3]. However, charitable giving and community development programs are not quantified with specific dollar amounts. Employee Retention (0/2): The VP of Autonomous Driving (Dr. Xinzhou Wu) resigned in 2023, and the robotics division was reorganized under the CEO's direct control [2]. At 20,632 employees, no specific voluntary turnover, average tenure, or employee sentiment data is publicly available. Insider Buying (0/2): No evidence of meaningful net insider buying by CEO He Xiaopeng or other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XPeng's financial profile reflects a high-growth company approaching but not yet achieving sustained profitability. D/E of 99.5% is above the 70% target (score 0.87), which is moderate for an auto manufacturer with RMB 28B in cash against RMB 26.9B debt [1]. ROE of -10.9% scores 0.0 (2x weight) as the company remains unprofitable on a trailing basis. Revenue growth YoY decelerated to 8% (score 0.93) from 87.7% in FY2025, reflecting delivery stagnation in Q1-Q2 2026 [1]. The 3-year revenue CAGR of approximately 42% from 2022-2025 comfortably exceeds the 10% target (score 1.0, 2x weight). Forward P/E of 50.0 is elevated (score 0.25), and profit margin of -4.1% scores 0.0. Forward PEG excluded due to data unavailability. Daily dollar volume of $64.9M provides adequate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XPeng under founder-CEO He Xiaopeng demonstrates strong infinite game characteristics — a genuine purpose connecting smart mobility to sustainable transportation, exceptional courage to invest billions in R&amp;D through nearly a decade of losses, and strategic flexibility to evolve from a pure EV maker to a Physical AI company. He's willingness to sustain unprofitability while building autonomous driving, robotics, and AI chip capabilities reflects long-term conviction. However, as an 11-year-old company that has achieved only one profitable quarter, the infinite game commitment remains unproven through full economic cycles and sustained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XPeng's vision of creating smart, sustainable mobility through Physical AI is genuine, distinctive, and has guided the company through years of heavy investment and sustained losses [2]. He Xiaopeng's personal leadership of frontier programs (robotics, flying car) and framing AI as empowerment rather than replacement demonstrate authentic conviction. The vision has survived the intense 2024-2025 EV price war without strategic retreat. However, the company is only 11 years old and the cause has not been validated across decades or tested through truly existential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He Xiaopeng has led the company since 2015, providing leadership continuity, and the flat organizational structure with the AI Chief reporting directly to the CEO suggests purpose-aligned leadership [2]. However, the departure of VP of Autonomous Driving Dr. Xinzhou Wu in 2023 and reorganization of the robotics division under the CEO's direct control indicate some leadership turbulence. At 20,632 employees, no specific employee sentiment, turnover, or cultural practice data distinguishes XPeng from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He Xiaopeng publicly acknowledges Tesla's strengths — calling the Tesla Roadster 'very cool' while constructively analyzing its flight certification challenges — and uses competitive benchmarking against Tesla FSD to drive improvement in XPeng's XNGP system [2]. The company frames competition as motivation to build better technology rather than as a war to win, and He's claim of competitive parity with Tesla FSD reflects self-improvement aspiration rather than rival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XPeng has evolved from a pure EV manufacturer to positioning as a 'Physical AI company' with robotaxis, humanoid robots (IRON), flying cars (Land Aircraft Carrier), and an AI engineering licensing business — each represents genuine strategic expansion beyond vehicle sales [2]. The pivot toward technology licensing and platform monetization is proactive, not desperate. However, vehicle sales still dominate revenue, and the transformation is aspirational rather than completed — no revenue from robotaxis, robots, or flying cars has materialized yet.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He Xiaopeng has demonstrated exceptional willingness to sacrifice near-term results for long-term capability: committing to massive R&amp;D investment through nearly a decade of sustained losses, personally taking over the robotics division, developing proprietary Turing AI chips rather than using off-the-shelf solutions, and simultaneously pursuing L4 autonomous driving, humanoid robotics, and flying car programs [2]. The decision to launch an AI engineering licensing business — opening proprietary technology to competitors — reflects conviction that growing the ecosystem serves the cause better than protecting IP. Continued investment through China's brutal 2024-2025 EV price war, when many competitors retrenched, exemplifies costly long-term commitment.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XPeng at $9.23 with an $8.8B market cap is the most AI-forward Chinese EV maker, positioning as a Physical AI company with proprietary Turing AI chips, XNGP autonomous driving, and emerging robotics/licensing businesses. FY2025 was a breakout year: 429,445 deliveries (up 126%), RMB 76.72B revenue (up 87.7%), and the first-ever positive net profit quarter in Q4 2025 [1]. Q2 2026 showed improving fundamentals with gross margin reaching 20.7% (up from 15.6% a year prior), revenue of RMB 19.74B rebounding 51.5% QoQ, and overseas deliveries topping 20,000 units (+81% YoY) reaching 25% of H1 revenue [1]. The AI engineering licensing business launched at Paris Motor Show opens technology monetization beyond vehicle sales, and CEO He targets L4 autonomous driving capability by 2028 [2].</w:t>
      </w:r>
    </w:p>
    <w:p>
      <w:pPr>
        <w:spacing w:after="120"/>
      </w:pPr>
      <w:r>
        <w:rPr>
          <w:rFonts w:ascii="Calibri" w:hAnsi="Calibri"/>
          <w:b w:val="0"/>
          <w:color w:val="3A4A28"/>
          <w:sz w:val="20"/>
        </w:rPr>
        <w:t>The bear case centers on sharply decelerating delivery growth and persistent unprofitability. Q1 2026 deliveries fell 33.3% YoY to 62,682 units and revenue dropped 17.6%, while Q2 recovered but was essentially flat YoY — a stark reversal from 2025's 126% delivery growth as China's EV price war intensifies and BYD's cost advantages widen [1]. XPeng remains unprofitable with ROE of -10.9%, profit margin of -4.1%, and trailing EPS of -$0.47; the forward P/E of 50x against minimal expected near-term earnings offers no valuation margin of safety. The stock has fallen 67% from its 52-week high of $28.24 to $9.23, reflecting market skepticism about the profitability path. The ambitious simultaneous pursuit of L4 autonomy, humanoid robots, flying cars, and global expansion carries severe execution risk for a company burning cash. Geopolitical headwinds — potential US delisting of Chinese ADRs, EU/US tariff barriers, and Chinese regulatory unpredictability — constrain international expansion and investor confidence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Overseas market expansion accelerating — Q2 overseas deliveries topped 20,000 (+81% YoY), now 25% of H1 revenue, with L03 model launching in new markets in Q4 2026 and management targeting quarterly overseas deliveries above 40,000 [1]</w:t>
      </w:r>
    </w:p>
    <w:p>
      <w:pPr>
        <w:spacing w:before="40" w:after="40"/>
        <w:ind w:left="283"/>
      </w:pPr>
      <w:r>
        <w:rPr>
          <w:rFonts w:ascii="Calibri" w:hAnsi="Calibri"/>
          <w:b/>
          <w:color w:val="4A6B25"/>
          <w:sz w:val="20"/>
        </w:rPr>
        <w:t xml:space="preserve">2. </w:t>
      </w:r>
      <w:r>
        <w:rPr>
          <w:rFonts w:ascii="Calibri" w:hAnsi="Calibri"/>
          <w:b w:val="0"/>
          <w:color w:val="3A4A28"/>
          <w:sz w:val="20"/>
        </w:rPr>
        <w:t>Gross margin expansion to 20.7% in Q2 2026 (from 15.6% a year earlier) demonstrates improving unit economics as platform scale and model mix shift toward higher-margin vehicles [1]</w:t>
      </w:r>
    </w:p>
    <w:p>
      <w:pPr>
        <w:spacing w:before="40" w:after="40"/>
        <w:ind w:left="283"/>
      </w:pPr>
      <w:r>
        <w:rPr>
          <w:rFonts w:ascii="Calibri" w:hAnsi="Calibri"/>
          <w:b/>
          <w:color w:val="4A6B25"/>
          <w:sz w:val="20"/>
        </w:rPr>
        <w:t xml:space="preserve">3. </w:t>
      </w:r>
      <w:r>
        <w:rPr>
          <w:rFonts w:ascii="Calibri" w:hAnsi="Calibri"/>
          <w:b w:val="0"/>
          <w:color w:val="3A4A28"/>
          <w:sz w:val="20"/>
        </w:rPr>
        <w:t>AI engineering licensing business monetizes proprietary technology stack (Turing chips, XNGP, Physical AI) beyond vehicle sales, opening a capital-light recurring revenue stream from global OEM partners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Sharp delivery growth deceleration — Q1 2026 deliveries down 33.3% YoY and Q2 essentially flat YoY — signals intensifying competition and potential loss of differentiation as BYD, Tesla China, and Huawei close the autonomous driving technology gap [1]</w:t>
      </w:r>
    </w:p>
    <w:p>
      <w:pPr>
        <w:spacing w:before="40" w:after="40"/>
        <w:ind w:left="283"/>
      </w:pPr>
      <w:r>
        <w:rPr>
          <w:rFonts w:ascii="Calibri" w:hAnsi="Calibri"/>
          <w:b/>
          <w:color w:val="4A6B25"/>
          <w:sz w:val="20"/>
        </w:rPr>
        <w:t xml:space="preserve">2. </w:t>
      </w:r>
      <w:r>
        <w:rPr>
          <w:rFonts w:ascii="Calibri" w:hAnsi="Calibri"/>
          <w:b w:val="0"/>
          <w:color w:val="3A4A28"/>
          <w:sz w:val="20"/>
        </w:rPr>
        <w:t>Sustained unprofitability with -10.9% ROE, -4.1% profit margin, and no clear timeline to consistent positive earnings after a single profitable quarter in Q4 2025 — cash burn could require additional dilutive capital raises [1]</w:t>
      </w:r>
    </w:p>
    <w:p>
      <w:pPr>
        <w:spacing w:before="40" w:after="40"/>
        <w:ind w:left="283"/>
      </w:pPr>
      <w:r>
        <w:rPr>
          <w:rFonts w:ascii="Calibri" w:hAnsi="Calibri"/>
          <w:b/>
          <w:color w:val="4A6B25"/>
          <w:sz w:val="20"/>
        </w:rPr>
        <w:t xml:space="preserve">3. </w:t>
      </w:r>
      <w:r>
        <w:rPr>
          <w:rFonts w:ascii="Calibri" w:hAnsi="Calibri"/>
          <w:b w:val="0"/>
          <w:color w:val="3A4A28"/>
          <w:sz w:val="20"/>
        </w:rPr>
        <w:t>Geopolitical risk as a China-headquartered, NYSE-listed company: potential US delisting requirements under HFCAA, EU/US tariff barriers of 25-100% on Chinese EVs limiting overseas growth, and Chinese regulatory unpredictability constrain strategic options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XPeng's core business — physical vehicle manufacturing with complex supply chains, safety certifications, dealership networks, and regulatory compliance — creates structural moats that AI cannot substitute [1][2]. The capital intensity of producing 429K+ vehicles annually combined with automotive safety regulations provides deep defensibility. XPeng IS an AI-native company: its Turing AI chips, XNGP autonomous driving system, and Physical AI architecture mean AI is the competitive advantage, not the threat. However, the autonomous driving competitive landscape is fierce, with Tesla FSD, Huawei's smart driving stack, and Waymo all vying for dominance — XPeng's AI moat is contestable, not monopolistic. AI Opportunity (1/1): AI is XPeng's core business differentiator and an emerging revenue stream. The XNGP system ships to customers today, the AI engineering licensing business (announced at Paris Motor Show) opens technology monetization beyond vehicle sales, and the Turing AI chip represents proprietary AI infrastructure [2]. CEO He Xiaopeng projects L4 capability by 2028 with commercial robotaxi operations targeting near-term launch.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XPeng Q2 2026 Financial Results — RMB 19.74B Revenue, 20.7% Gross Margin, Overseas 25% of H1 Revenue — XPeng Pressroom, SEC 6-K, Morningstar/PR 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XPeng Leadership and AI Strategy — CEO He Xiaopeng L4 Timeline, Turing Chips, AI Engineering Licensing, UN Secretary-General Role, Physical AI Vision — SCMP, BigGo Finance, World Today Journal, LinkedIn, 2025-2026</w:t>
      </w:r>
    </w:p>
    <w:p>
      <w:pPr>
        <w:spacing w:before="20" w:after="20"/>
        <w:ind w:left="170"/>
      </w:pPr>
      <w:r>
        <w:rPr>
          <w:rFonts w:ascii="Calibri" w:hAnsi="Calibri"/>
          <w:b/>
          <w:color w:val="4A6B25"/>
          <w:sz w:val="15"/>
        </w:rPr>
        <w:t xml:space="preserve">3. </w:t>
      </w:r>
      <w:r>
        <w:rPr>
          <w:rFonts w:ascii="Calibri" w:hAnsi="Calibri"/>
          <w:b w:val="0"/>
          <w:color w:val="3A4A28"/>
          <w:sz w:val="17"/>
        </w:rPr>
        <w:t>XPeng ESG Performance — MSCI AAA Rating (3rd Consecutive Year), 2024 ESG Report — XPeng IR, Sustainalytics, GasGoo AutoNews,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