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XPO</w:t>
      </w:r>
      <w:r>
        <w:rPr>
          <w:rFonts w:ascii="Calibri" w:hAnsi="Calibri"/>
          <w:b/>
          <w:color w:val="1A2010"/>
          <w:sz w:val="40"/>
        </w:rPr>
        <w:t xml:space="preserve">  XPO, Inc.</w:t>
      </w:r>
    </w:p>
    <w:p>
      <w:pPr>
        <w:spacing w:after="120"/>
      </w:pPr>
      <w:r>
        <w:rPr>
          <w:rFonts w:ascii="Calibri" w:hAnsi="Calibri"/>
          <w:b/>
          <w:color w:val="6E8450"/>
          <w:sz w:val="18"/>
        </w:rPr>
        <w:t>GROWTH SLEEVE · 2026-09-16 · Inspire: 58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Trucking · NYSE · United States</w:t>
      </w:r>
    </w:p>
    <w:p>
      <w:pPr>
        <w:spacing w:after="80"/>
      </w:pPr>
      <w:r>
        <w:rPr>
          <w:rFonts w:ascii="Calibri" w:hAnsi="Calibri"/>
          <w:b w:val="0"/>
          <w:color w:val="3A4A28"/>
          <w:sz w:val="20"/>
        </w:rPr>
        <w:t>XPO, Inc. is one of the largest less-than-truckload (LTL) freight carriers in North America, operating approximately 600 service centers across the United States, Canada, and Europe. Following spinoffs of GXO Logistics (contract logistics) and RXO (truck brokerage), XPO is a focused LTL pure-play executing a multi-year technology transformation through its LTL 2.0 program. CEO Mario Harik, former CIO and MIT-trained engineer, leads with a technology-first approach. Q2 2026 revenue grew 13.2% to $2.36B with North American LTL operating ratio improving 300bps to 79.9% and adjusted EPS surging 61.9% YoY to $1.70.</w:t>
      </w:r>
    </w:p>
    <w:p>
      <w:r>
        <w:rPr>
          <w:rFonts w:ascii="Calibri" w:hAnsi="Calibri"/>
          <w:b/>
          <w:color w:val="6E8450"/>
          <w:sz w:val="18"/>
        </w:rPr>
        <w:t>38,000 Employees · https://www.xpo.com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XPO has executed a significant strategic transformation — from a diversified logistics conglomerate to a focused LTL carrier through the GXO and RXO spinoffs, while simultaneously deploying the LTL 2.0 multi-year technology program driving consecutive quarters of accelerating margin improvement [1]. Q2 2026 delivered breakout results with revenue +13.2% to $2.36B, LTL segment revenue +15.2% to $1.43B, and adjusted operating ratio improving 300bps to 79.9% — the best OR in the company's history [1]. H1 2026 revenue grew 10%+ with adjusted EBITDA expanding significantly faster than revenue. AI Deployment (2/2): XPO has deployed AI at scale with quantified operational results. AI-driven dynamic route optimization adjusts driver paths using real-time data; computer vision and predictive analytics optimize load-building and minimize freight damage. Q1-Q2 2026 earnings explicitly cited AI-enabled optimization tools as key drivers of the 200-300bps operating ratio improvement [1][3]. CEO Harik stated 'data coupled with strong machine learning algorithms' is the core competitive advantage. Market Share (1/2): XPO is the #2-3 LTL carrier in North America, gaining share through service quality improvements and technology differentiation. LTL shipments per day and tons are growing despite broader freight market softness [1]. Narrowing the operating ratio gap to industry leader Old Dominion. Product Pipeline (1/2): Continued LTL 2.0 rollout with AI tools expanding across the 600-terminal network. XPO Connect digital platform with 99.7% automated load matching. Terminal expansion and network densification programs underway but no specific next-gen product launches named [3]. R&amp;D Intensity (1/1): $3B+ cumulative technology investment over the past decade far exceeds trucking industry peers, and the CIO-turned-CEO leadership structure embeds technology innovation at the highest decision-making level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XPO's implicit purpose is to transform freight logistics through technology, but the company does not articulate a formal mission connecting its work to a larger societal purpose [6]. The technology vision is genuine and embodied by CEO Harik's CIO-to-CEO trajectory, but it serves operational efficiency and shareholder value rather than a vision of a better future state. Community Impact (0/2): No evidence of distinctive community investment or charitable programs. XPO's ESG reporting is described as falling 'far short of a comprehensive corporate-wide sustainability report,' with no emission-reduction targets set despite creating an ESG committee [5]. Employee Retention (1/2): CEO Harik has improved employee engagement metrics as cited in earnings calls, and the engineering culture at corporate attracts technical talent. However, frontline labor relations remain contentious — NLRB unfair labor practice complaints and union avoidance spending of $600K+ are documented concerns [5]. Glassdoor data not available in search but improved engagement is referenced by management [1]. Insider Buying (0/2): No evidence of meaningful net insider buying. Insiders have been net sellers with no recent purchasing activity demonstrating personal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with 5yr revenue CAGR excluded due to spinoff distortion. The stock's 24% decline from its 52-week high of $232.05 to $178.24 has significantly compressed the valuation: Forward P/E improved to 27.51x from previous levels near 45x, and PEG dropped to 1.74 from 2.90 [4]. D/E of 206.2% remains far above the 70% target, reflecting the capital-intensive LTL network. ROE of 21.59% exceeds the 15% target, demonstrating that the leverage is generating strong returns. Revenue growth YoY accelerated to 13.2% in Q2 2026 (above the 10% target), with Q2 adjusted EPS surging 61.9% YoY to $1.70 [1]. Profit margin of 4.71% improved from 3.87% as LTL operating ratio improved 300bps to a record 79.9% in Q2. Stock clears the liquidity floor with ~$192M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XPO under Mario Harik is a highly effective operator with a genuine technology vision, but operates with a fundamentally finite mindset. The company's history of aggressive acquisition, serial spinoffs, and financial engineering reflects a strategy optimized for value creation and multiple expansion rather than building to endure. Labor relations issues (NLRB complaints, union avoidance spending, owner-operator model) indicate that XPO's circle of safety does not extend to frontline workers — a critical failure in Sinek's framework. The technology excellence is real, but it serves shareholder value, not a cause. XPO does earn credit for treating Old Dominion as a genuine worthy rival driving self-improvement.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XPO's implicit cause is to transform freight logistics through technology, and Harik's engineering background and $3B+ tech investment demonstrate genuine belief in this direction [3]. However, this is fundamentally about operational efficiency and shareholder value creation, not a vision of a future state that inspires sacrifice. XPO's corporate history — acquiring companies, spinning off divisions, optimizing for multiple re-rating — reveals strategic logic driven by financial engineering rather than purpose. Employees join XPO for careers, not to advance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XPO has significant trust deficits at the frontline level. Multiple unfair labor practice complaints are pending before the NLRB for denying workers' freedom of association rights, and the company spent $600,000+ on 'union avoidance' consultants [5]. Approximately 10,000 trucks operate via independent owner-operators with limited oversight, creating structural distance between management and frontline workers. While management cites improved employee engagement in earnings calls, Sinek's Circle of Safety requires that ALL workers feel trusted and protected. XPO's dual culture — engineering excellence at headquarters, labor friction at the docks — is a fundamental failure of trusting teams.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XPO treats Old Dominion Freight Line as a genuine worthy rival in Sinek's sense — ODFL's industry-leading operating ratio (mid-70s) is explicitly referenced as the benchmark XPO aims to learn from and close the gap toward, not a competitor to destroy [1]. Harik's language frames the competitive dynamic as self-improvement: narrowing the OR gap from 200-300bps annually through internal execution, not through predatory pricing or market share warfare. Q2 2026's record 79.9% OR demonstrates this worthy-rival dynamic producing genuine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XPO has demonstrated meaningful strategic transformation — from a diversified logistics conglomerate (XPO, GXO, RXO combined) to a focused LTL pure-play through strategic spinoffs in 2022-2023 [1]. The decision to shed contract logistics and truck brokerage to concentrate on LTL required abandoning significant revenue and creating separate public companies. However, this was portfolio optimization driven by valuation logic (pure-play multiples exceed conglomerate discounts), not a purpose-driven pivot. Financially strategic, not existentially courageous.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$3B+ technology investment over a decade and appointment of a CIO as CEO demonstrate genuine conviction in technology-driven transformation of the trucking industry [3]. The LTL 2.0 program required sustained investment through freight market volatility. The spinoff decisions required breaking apart a company built through years of acquisitions. However, these decisions all served shareholder value maximization rather than principled stances that cost money. The $600K+ in union avoidance spending suggests courage runs toward investors, not toward workers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XPO at 27.51x forward earnings (down from 45x+ earlier this year) with PEG of 1.74 is more attractively valued after a 24% pullback from its $232 52-week high [4]. Q2 2026 delivered breakout results: revenue grew 13.2% to $2.36B, North American LTL segment revenue surged 15.2% to $1.43B with a record 79.9% adjusted operating ratio (300bps improvement YoY), and adjusted EPS grew 61.9% to $1.70 [1]. H1 2026 net income approximately doubled YoY. CEO Harik's AI-driven LTL 2.0 program is measurably transforming operations — the $3B+ technology investment and ML-based pricing, route optimization, and computer vision tools are directly cited as drivers of margin expansion [3]. ROE of 21.59% demonstrates the leverage is generating strong returns. The path to Old Dominion-level operating ratios (mid-70s) would unlock further earnings growth from the same revenue base.</w:t>
      </w:r>
    </w:p>
    <w:p>
      <w:pPr>
        <w:spacing w:after="120"/>
      </w:pPr>
      <w:r>
        <w:rPr>
          <w:rFonts w:ascii="Calibri" w:hAnsi="Calibri"/>
          <w:b w:val="0"/>
          <w:color w:val="3A4A28"/>
          <w:sz w:val="20"/>
        </w:rPr>
        <w:t>The bear case centers on leverage, labor risk, and margin sustainability. D/E of 206.2% remains nearly 3x the IOWN 70% target, creating significant financial fragility and interest rate sensitivity — any freight recession could strain debt service against only 4.71% profit margins [4]. Ten NLRB unfair labor practice complaints and $600K+ in union avoidance spending create material labor relations risk that could result in regulatory penalties, work stoppages, or reputational damage, particularly as the Biden-era labor enforcement environment has emboldened organizing efforts [5]. While the operating ratio improvement trajectory is impressive (300bps in Q2), the easy gains may be behind the company — each incremental basis point of improvement becomes harder as XPO approaches best-in-class ODFL territory. Autonomous trucking, while years away for LTL, represents a long-term structural risk to the driver-dependent cost model. The ESG reporting remains insufficient, falling 'far short of comprehensive' sustainability disclosure with no emission-reduction targets set. The Inspire Impact Score of 58 (ALIGNED) with no negative attributions is a positive offset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LTL 2.0 technology program driving continued operating ratio improvement toward mid-70s ODFL-level territory — Q2 2026's record 79.9% OR (300bps improvement) with AI-enabled productivity gains accelerating the margin expansion timeline [1]</w:t>
      </w:r>
    </w:p>
    <w:p>
      <w:pPr>
        <w:spacing w:before="40" w:after="40"/>
        <w:ind w:left="283"/>
      </w:pPr>
      <w:r>
        <w:rPr>
          <w:rFonts w:ascii="Calibri" w:hAnsi="Calibri"/>
          <w:b/>
          <w:color w:val="4A6B25"/>
          <w:sz w:val="20"/>
        </w:rPr>
        <w:t xml:space="preserve">2. </w:t>
      </w:r>
      <w:r>
        <w:rPr>
          <w:rFonts w:ascii="Calibri" w:hAnsi="Calibri"/>
          <w:b w:val="0"/>
          <w:color w:val="3A4A28"/>
          <w:sz w:val="20"/>
        </w:rPr>
        <w:t>Revenue growth acceleration to 13.2% in Q2 2026 from 7% in Q1 demonstrates freight cycle recovery and market share gains, with LTL shipments per day and yield per hundredweight both growing [1]</w:t>
      </w:r>
    </w:p>
    <w:p>
      <w:pPr>
        <w:spacing w:before="40" w:after="40"/>
        <w:ind w:left="283"/>
      </w:pPr>
      <w:r>
        <w:rPr>
          <w:rFonts w:ascii="Calibri" w:hAnsi="Calibri"/>
          <w:b/>
          <w:color w:val="4A6B25"/>
          <w:sz w:val="20"/>
        </w:rPr>
        <w:t xml:space="preserve">3. </w:t>
      </w:r>
      <w:r>
        <w:rPr>
          <w:rFonts w:ascii="Calibri" w:hAnsi="Calibri"/>
          <w:b w:val="0"/>
          <w:color w:val="3A4A28"/>
          <w:sz w:val="20"/>
        </w:rPr>
        <w:t>Valuation compression from 45x to 27.5x forward earnings creates a more attractive entry point for a company growing adjusted EPS 62% YoY with a structural margin expansion story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206% creates financial fragility — rising interest rates or a freight recession could strain debt service against only 4.71% profit margins, and any operating ratio reversal would be amplified by the leverage [4]</w:t>
      </w:r>
    </w:p>
    <w:p>
      <w:pPr>
        <w:spacing w:before="40" w:after="40"/>
        <w:ind w:left="283"/>
      </w:pPr>
      <w:r>
        <w:rPr>
          <w:rFonts w:ascii="Calibri" w:hAnsi="Calibri"/>
          <w:b/>
          <w:color w:val="4A6B25"/>
          <w:sz w:val="20"/>
        </w:rPr>
        <w:t xml:space="preserve">2. </w:t>
      </w:r>
      <w:r>
        <w:rPr>
          <w:rFonts w:ascii="Calibri" w:hAnsi="Calibri"/>
          <w:b w:val="0"/>
          <w:color w:val="3A4A28"/>
          <w:sz w:val="20"/>
        </w:rPr>
        <w:t>Labor relations risk from NLRB unfair labor practice complaints, $600K+ union avoidance spending, and 10,000+ owner-operator trucks with limited oversight could result in regulatory penalties, work stoppages, or reputational damage [5]</w:t>
      </w:r>
    </w:p>
    <w:p>
      <w:pPr>
        <w:spacing w:before="40" w:after="40"/>
        <w:ind w:left="283"/>
      </w:pPr>
      <w:r>
        <w:rPr>
          <w:rFonts w:ascii="Calibri" w:hAnsi="Calibri"/>
          <w:b/>
          <w:color w:val="4A6B25"/>
          <w:sz w:val="20"/>
        </w:rPr>
        <w:t xml:space="preserve">3. </w:t>
      </w:r>
      <w:r>
        <w:rPr>
          <w:rFonts w:ascii="Calibri" w:hAnsi="Calibri"/>
          <w:b w:val="0"/>
          <w:color w:val="3A4A28"/>
          <w:sz w:val="20"/>
        </w:rPr>
        <w:t>Operating ratio improvement trajectory may decelerate as XPO approaches best-in-class ODFL territory — each incremental basis point becomes harder, and the market may be pricing in a multi-year margin expansion that proves more difficult to sustain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XPO's core business — physically moving freight via trucks across a network of ~600 service centers — is highly protected from AI disruption. Trucks, drivers, loading docks, and warehouse infrastructure cannot be replaced with software [1]. The LTL industry requires massive physical capital, regulatory compliance (DOT, FMCSA), and human labor that AI structurally cannot substitute. The freight economy is fundamentally tied to physical commerce — every product sold must be shipped. No analysts have flagged AI substitution risk for LTL operations. However, AI-enabled competitors could eventually narrow XPO's technology advantage as LTL 2.0 tools become industry-standard, and autonomous trucking (long-haul first) could reduce driver-dependent cost structures over time. AI Opportunity (1/1): XPO generates measurable value from AI deployment. Q1-Q2 2026 earnings explicitly attributed 200-300bps of operating ratio improvement to AI-enabled optimization tools including dynamic route optimization, computer vision for load-building, and predictive analytics [1][3]. CEO Harik's statement that 'data coupled with strong machine learning algorithms' is the core competitive advantage directly links AI to revenue optimization. The $3B+ technology investment and 99.7% automated load matching via XPO Connect represent substantial AI infrastructure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XPO Q2 2026 Results — Revenue $2.36B (+13.2%), LTL Segment $1.43B (+15.2%), Adjusted OR 79.9% (300bps Improvement), Adjusted EPS $1.70 (+61.9%), StockTitan / BriefGlance / TT News, July 2026</w:t>
      </w:r>
    </w:p>
    <w:p>
      <w:pPr>
        <w:spacing w:before="20" w:after="20"/>
        <w:ind w:left="170"/>
      </w:pPr>
      <w:r>
        <w:rPr>
          <w:rFonts w:ascii="Calibri" w:hAnsi="Calibri"/>
          <w:b/>
          <w:color w:val="4A6B25"/>
          <w:sz w:val="15"/>
        </w:rPr>
        <w:t xml:space="preserve">2. </w:t>
      </w:r>
      <w:r>
        <w:rPr>
          <w:rFonts w:ascii="Calibri" w:hAnsi="Calibri"/>
          <w:b w:val="0"/>
          <w:color w:val="3A4A28"/>
          <w:sz w:val="17"/>
        </w:rPr>
        <w:t>XPO Q1 2026 Results — Revenue $2.10B (+7.3%), Net Income $101M (+46%), Adjusted EBITDA $319M (+15%), LTL OR 83.9% (200bps Improvement), news.xpo.com / IndexBox, April 2026</w:t>
      </w:r>
    </w:p>
    <w:p>
      <w:pPr>
        <w:spacing w:before="20" w:after="20"/>
        <w:ind w:left="170"/>
      </w:pPr>
      <w:r>
        <w:rPr>
          <w:rFonts w:ascii="Calibri" w:hAnsi="Calibri"/>
          <w:b/>
          <w:color w:val="4A6B25"/>
          <w:sz w:val="15"/>
        </w:rPr>
        <w:t xml:space="preserve">3. </w:t>
      </w:r>
      <w:r>
        <w:rPr>
          <w:rFonts w:ascii="Calibri" w:hAnsi="Calibri"/>
          <w:b w:val="0"/>
          <w:color w:val="3A4A28"/>
          <w:sz w:val="17"/>
        </w:rPr>
        <w:t>XPO AI &amp; Leadership — CEO Mario Harik (Former CIO, MIT), $3B+ Tech Investment, ML Pricing, AI Route Optimization, XPO Connect 99.7% Automated, CIO Dive / Forbes / Metis Strategy,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XPO Key Statistics: Forward P/E 27.51x, PEG 1.74, D/E 206.2%, ROE 21.59%, Profit Margin 4.71%,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XPO ESG &amp; Labor — NLRB Complaints, Union Avoidance $600K+, Insufficient ESG Reporting, Worker Misclassification Lawsuits, Committee on Workers' Capital / FreightWaves, 2024-2026</w:t>
      </w:r>
    </w:p>
    <w:p>
      <w:pPr>
        <w:spacing w:before="20" w:after="20"/>
        <w:ind w:left="170"/>
      </w:pPr>
      <w:r>
        <w:rPr>
          <w:rFonts w:ascii="Calibri" w:hAnsi="Calibri"/>
          <w:b/>
          <w:color w:val="4A6B25"/>
          <w:sz w:val="15"/>
        </w:rPr>
        <w:t xml:space="preserve">6. </w:t>
      </w:r>
      <w:r>
        <w:rPr>
          <w:rFonts w:ascii="Calibri" w:hAnsi="Calibri"/>
          <w:b w:val="0"/>
          <w:color w:val="3A4A28"/>
          <w:sz w:val="17"/>
        </w:rPr>
        <w:t>XPO Corporate Website — Company Overview, LTL Pure-Play Strategy, Service Center Network, xpo.com,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