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XRN</w:t>
      </w:r>
      <w:r>
        <w:rPr>
          <w:rFonts w:ascii="Calibri" w:hAnsi="Calibri"/>
          <w:b/>
          <w:color w:val="1A2010"/>
          <w:sz w:val="40"/>
        </w:rPr>
        <w:t xml:space="preserve">  Chiron Real Estate Inc.</w:t>
      </w:r>
    </w:p>
    <w:p>
      <w:pPr>
        <w:spacing w:after="120"/>
      </w:pPr>
      <w:r>
        <w:rPr>
          <w:rFonts w:ascii="Calibri" w:hAnsi="Calibri"/>
          <w:b/>
          <w:color w:val="6E8450"/>
          <w:sz w:val="18"/>
        </w:rPr>
        <w:t>DIVIDEND SLEEVE · 2026-10-05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Chiron Real Estate Inc. (formerly Global Medical REIT Inc.) is a healthcare-focused real estate investment trust that owns and manages properties leased to healthcare providers. The company rebranded in February 2026 under CEO Mark Decker Jr., pivoting from a pure medical office REIT toward a diversified healthcare real estate platform with significant exposure to seniors housing operating properties (SHOP). The portfolio includes 4.6M leasable square feet of outpatient medical properties and growing seniors housing communities. Headquartered in Bethesda, Maryland.</w:t>
      </w:r>
    </w:p>
    <w:p>
      <w:r>
        <w:rPr>
          <w:rFonts w:ascii="Calibri" w:hAnsi="Calibri"/>
          <w:b/>
          <w:color w:val="6E8450"/>
          <w:sz w:val="18"/>
        </w:rPr>
        <w:t>30 Employees · https://www.chironre.com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Chiron is executing a meaningful strategic transformation under CEO Mark Decker Jr., who joined in June 2025 — pivoting from a pure medical office REIT to a diversified healthcare real estate platform with significant senior housing exposure [1]. In Q2 2026 alone, the company acquired two luxury SHOP communities in Alexandria, VA for $249M while disposing of seven inpatient rehabilitation facilities for $217M, plus invested $6.7M in a Wisconsin active adult development and funded a $3M mezzanine loan for a Fort Myers medical facility [2]. AI Deployment (0/2): No evidence of AI-powered products or AI-driven operational improvements; real estate ownership and management remains a traditional operation [3]. Market Share (0/2): Chiron has a $500M market cap, making it a small player in the $1.5T+ healthcare REIT universe. Not a category leader by any measure [1]. Pipeline (1/2): The Pinnacle seniors housing acquisition (~$176M, expected Q4 2026), Reston land parcel (~$15M, expected Q3 2026), and Beaumont Surgical Hospital disposition (~$49M) provide specific near-term deal visibility [2]. R&amp;D Intensity (0/1): Not applicable to REIT operations.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Chiron's mission to 'deliver value at the intersection of care, capital, and real estate' with a focus on essential healthcare reflecting aging demographics is clearly articulated and identifies a specific purpose — providing critical healthcare infrastructure for an aging population [3]. However, the mission is not yet validated by long-term execution and reads as a strategic positioning statement rather than a transformative vision. Community Impact (1/2): Chiron published an inaugural corporate sustainability report and outlined an ESG approach based on three pillars — alignment, access, and authenticity [3]. The healthcare focus inherently serves community needs, but no specific philanthropic programs or dollar amounts were identified. Employee Retention (0/2): The organization is in significant leadership transition with CEO Mark Decker Jr. (appointed June 2025), multiple new senior-housing executive appointments, and a workforce too small (~30 employees) to assess retention patterns meaningfully [2]. Insider Buying (1/2): CEO Mark Decker has invested over $1M of personal capital in GLIBK shares and recently purchased an additional 550 shares ($19,800) in October 2026, demonstrating personal conviction in the company's strategic pivot [3]. However, the recent purchase is modest in absolute terms and represents routine insider buying rather than an outsized bet.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94.5% reflects $663M consolidated debt against equity, above the 70% target but well below the 300% floor, scoring 0.89 [2]. ROE of 10.4% improved from prior periods driven by the $71.9M Q2 gain on sale but remains below the 15% target, scoring 0.69 [1]. Revenue grew 4.8% YoY to $39.75M in Q2 2026 driven by new seniors housing acquisitions, scoring 0.83 [1]. Revenue 5yr CAGR of approximately 12% from $86M in 2021 reflects portfolio growth through acquisitions, scoring 1.0 [1]. Forward P/E of -11.4 reflects negative forward EPS estimates due to anticipated non-cash charges and REIT depreciation, scoring 0 [1]. Profit margin of 37.8% exceeds the 20% target, inflated by the $71.9M Q2 gain on sale but still scoring 1.0 mechanically [2]. Dividend yield of 5.65% ($1.92/year), GAAP payout ratio of 145% reflecting REIT accounting distortion (FFO-based payout ~44%), with 10 consecutive years of payments since 2016 IPO [1]. Weighted sum: 8.61 / 12 = 7.18, rounded to 7. Liquidity check passes: 90.5K avg daily volume x $34.01 = $3.08M &gt;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Chiron Real Estate is in the early stages of a strategic transformation under CEO Mark Decker Jr., who is repositioning the company from a medical office REIT to a diversified healthcare real estate platform targeting aging demographics. The rebrand and senior housing pivot demonstrate strategic ambition, but the company has not yet proven this vision through execution over multiple cycles. Decker's prior successful transformation of Centerspace provides a playbook, but Chiron's current identity is still being established.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Chiron's purpose of providing essential healthcare infrastructure at the intersection of 'care, capital, and real estate' is genuine and connects to the meaningful cause of housing aging populations and enabling healthcare delivery [3]. However, the cause is only months old in its current articulation — the February 2026 rebrand and strategic pivot have not yet been validated through market cycles, leadership transitions, or crises. The mission statement reads more as strategic positioning than a deeply held organizational purpose that guides all decisions.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Chiron has made multiple new executive appointments in investment, development, operations, and seniors housing — building a new leadership team around CEO Decker's vision [2]. The organization is small (~50 employees), which can facilitate trust but also means leadership changes are proportionally more disruptive. Decker's track record at Centerspace, where he built what was described as an 'award-winning performance-oriented culture,' suggests he values organizational trust, but this has not yet been demonstrated at Chiron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Chiron operates in a fragmented healthcare REIT market alongside much larger peers (Welltower, Ventas, Healthpeak), but public communications focus on deal-making and portfolio repositioning rather than learning from competitors' strengths or acknowledging their advantages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transformation from Global Medical REIT (pure outpatient medical office) to Chiron Real Estate (diversified healthcare platform with significant senior housing) is a genuine business model evolution [3]. The company invested $421M in senior housing while simultaneously selling $200M+ in inpatient rehabilitation facilities in Q2 2026 — a decisive portfolio recycling that demonstrates willingness to abandon what was working in pursuit of what management believes will work better long-term [2]. However, the pivot is still early-stage and unproven.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Decker has made several bold decisions since joining: rebranding the entire company, pivoting the investment strategy toward senior housing, issuing $100M in convertible preferred stock to fund acquisitions, and executing $200M+ in dispositions to recycle capital [2]. The decision to issue the Series C Convertible Preferred at 6% with a $43 conversion price shows willingness to use creative financing for long-term positioning. However, Decker has been CEO for only 14 months, and the courage of these decisions has not yet been tested through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Chiron Real Estate is executing an ambitious strategic pivot under CEO Mark Decker Jr. from a stagnant medical office REIT to a diversified healthcare real estate platform targeting the aging demographic megatrend. Q2 2026 revenue grew to $39.7M with 95% outpatient medical occupancy, and the company invested $249M in luxury seniors housing communities while recycling $217M from inpatient rehabilitation facility dispositions [2]. At 8.4x forward core FFO ($4.30-$4.45 guidance) with a 5.25% dividend yield, the stock offers attractive value for income investors willing to bet on the transformation [1]. The 39.9% leverage ratio, 78% fixed-rate debt, and no maturities through 2027 provide financial stability during the transition. Same-property cash NOI growth of 0.8% YoY in Q2 demonstrates stable underlying operations while the portfolio is being repositioned [2].</w:t>
      </w:r>
    </w:p>
    <w:p>
      <w:pPr>
        <w:spacing w:after="120"/>
      </w:pPr>
      <w:r>
        <w:rPr>
          <w:rFonts w:ascii="Calibri" w:hAnsi="Calibri"/>
          <w:b w:val="0"/>
          <w:color w:val="3A4A28"/>
          <w:sz w:val="20"/>
        </w:rPr>
        <w:t>The bear case centers on execution risk and scale. Chiron is a $500M market cap REIT making outsized bets — the $249M seniors housing acquisition alone equals half the company's equity market value — creating concentrated risk if occupancy ramp-ups disappoint [2]. The Riviera seniors housing community was only 23% occupied at quarter-end (26% by July), and stabilization to the targeted 7.0-7.5% cash yield is uncertain. White Rock Medical Center, the company's Dallas acute-care hospital tenant, remains in Chapter 11 bankruptcy with lease affirmation status uncertain, representing potential income loss [2]. The GAAP net income of $63.3M in Q2 was almost entirely driven by a $71.9M gain on sale, masking that core FFO per share actually declined from $1.14 to $1.04 YoY. Average daily volume of just 100K shares limits institutional interest and creates liquidity risk for investors seeking to build or exit meaningful positions. The company has undergone a complete leadership transformation, rebrand, and strategic pivot simultaneously, and any misstep could compound across all three dimensions.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The Pinnacle seniors housing acquisition (~$176M, expected Q4 2026) plus continued SHOP portfolio expansion targeting the $5.6T senior living market as 10,000 Baby Boomers turn 65 daily through 2030</w:t>
      </w:r>
    </w:p>
    <w:p>
      <w:pPr>
        <w:spacing w:before="40" w:after="40"/>
        <w:ind w:left="283"/>
      </w:pPr>
      <w:r>
        <w:rPr>
          <w:rFonts w:ascii="Calibri" w:hAnsi="Calibri"/>
          <w:b/>
          <w:color w:val="4A6B25"/>
          <w:sz w:val="20"/>
        </w:rPr>
        <w:t xml:space="preserve">2. </w:t>
      </w:r>
      <w:r>
        <w:rPr>
          <w:rFonts w:ascii="Calibri" w:hAnsi="Calibri"/>
          <w:b w:val="0"/>
          <w:color w:val="3A4A28"/>
          <w:sz w:val="20"/>
        </w:rPr>
        <w:t>Stabilization of newly acquired seniors housing communities (The Landing at 93% occupancy, The Riviera ramping from 23%) toward targeted 7.0-7.5% stabilized cash yields, demonstrating the SHOP strategy's viability</w:t>
      </w:r>
    </w:p>
    <w:p>
      <w:pPr>
        <w:spacing w:before="40" w:after="40"/>
        <w:ind w:left="283"/>
      </w:pPr>
      <w:r>
        <w:rPr>
          <w:rFonts w:ascii="Calibri" w:hAnsi="Calibri"/>
          <w:b/>
          <w:color w:val="4A6B25"/>
          <w:sz w:val="20"/>
        </w:rPr>
        <w:t xml:space="preserve">3. </w:t>
      </w:r>
      <w:r>
        <w:rPr>
          <w:rFonts w:ascii="Calibri" w:hAnsi="Calibri"/>
          <w:b w:val="0"/>
          <w:color w:val="3A4A28"/>
          <w:sz w:val="20"/>
        </w:rPr>
        <w:t>Leverage reduction through asset recycling — the Beaumont Surgical Hospital disposition (~$49M at 5.9% cap rate) and future dispositions could reduce the leverage ratio below 35%, enabling additional accretive acquisitions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Concentrated execution risk from simultaneous strategic pivot, leadership overhaul, and corporate rebrand — any failure in senior housing integration while core medical office FFO declines could erode investor confidence and access to capital</w:t>
      </w:r>
    </w:p>
    <w:p>
      <w:pPr>
        <w:spacing w:before="40" w:after="40"/>
        <w:ind w:left="283"/>
      </w:pPr>
      <w:r>
        <w:rPr>
          <w:rFonts w:ascii="Calibri" w:hAnsi="Calibri"/>
          <w:b/>
          <w:color w:val="4A6B25"/>
          <w:sz w:val="20"/>
        </w:rPr>
        <w:t xml:space="preserve">2. </w:t>
      </w:r>
      <w:r>
        <w:rPr>
          <w:rFonts w:ascii="Calibri" w:hAnsi="Calibri"/>
          <w:b w:val="0"/>
          <w:color w:val="3A4A28"/>
          <w:sz w:val="20"/>
        </w:rPr>
        <w:t>White Rock Medical Center Chapter 11 bankruptcy creates potential rent loss and recovery uncertainty for a key acute-care hospital asset, with lease affirmation status still unresolved</w:t>
      </w:r>
    </w:p>
    <w:p>
      <w:pPr>
        <w:spacing w:before="40" w:after="40"/>
        <w:ind w:left="283"/>
      </w:pPr>
      <w:r>
        <w:rPr>
          <w:rFonts w:ascii="Calibri" w:hAnsi="Calibri"/>
          <w:b/>
          <w:color w:val="4A6B25"/>
          <w:sz w:val="20"/>
        </w:rPr>
        <w:t xml:space="preserve">3. </w:t>
      </w:r>
      <w:r>
        <w:rPr>
          <w:rFonts w:ascii="Calibri" w:hAnsi="Calibri"/>
          <w:b w:val="0"/>
          <w:color w:val="3A4A28"/>
          <w:sz w:val="20"/>
        </w:rPr>
        <w:t>Core FFO per share declined from $1.14 to $1.04 YoY in Q2 despite revenue growth, suggesting dilution from preferred stock issuance and new acquisitions not yet contributing at full run-rate — continued FFO compression would pressure the 5.25% dividend yield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Chiron owns physical healthcare real estate — outpatient medical buildings and seniors housing communities — that AI structurally cannot displace [2]. Healthcare providers require physical facilities to treat patients, and seniors require physical housing with on-site care. The company's 4.6M leasable square feet of outpatient medical properties with 95% occupancy and 4.4-year weighted average lease terms represent durable physical infrastructure [2]. The strategic pivot toward seniors housing is particularly AI-immune: elderly care fundamentally requires human interaction, physical housing, and in-person medical services that no AI can substitute. AI may modestly improve property management efficiency or tenant screening but poses zero substitution risk to the physical real estate asset base. AI Opportunity (0/1): No AI-generated revenue; real estate ownership and healthcare property management involve no AI products or services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Chiron Real Estate (XRN) Financial Overview — StockAnalysis.com, accessed August 2026</w:t>
      </w:r>
    </w:p>
    <w:p>
      <w:pPr>
        <w:spacing w:before="20" w:after="20"/>
        <w:ind w:left="170"/>
      </w:pPr>
      <w:r>
        <w:rPr>
          <w:rFonts w:ascii="Calibri" w:hAnsi="Calibri"/>
          <w:b/>
          <w:color w:val="4A6B25"/>
          <w:sz w:val="15"/>
        </w:rPr>
        <w:t xml:space="preserve">2. </w:t>
      </w:r>
      <w:r>
        <w:rPr>
          <w:rFonts w:ascii="Calibri" w:hAnsi="Calibri"/>
          <w:b w:val="0"/>
          <w:color w:val="3A4A28"/>
          <w:sz w:val="17"/>
        </w:rPr>
        <w:t>Chiron Real Estate Q2 2026 Earnings and Financial Results — StockTitan, August 2026</w:t>
      </w:r>
    </w:p>
    <w:p>
      <w:pPr>
        <w:spacing w:before="20" w:after="20"/>
        <w:ind w:left="170"/>
      </w:pPr>
      <w:r>
        <w:rPr>
          <w:rFonts w:ascii="Calibri" w:hAnsi="Calibri"/>
          <w:b/>
          <w:color w:val="4A6B25"/>
          <w:sz w:val="15"/>
        </w:rPr>
        <w:t xml:space="preserve">3. </w:t>
      </w:r>
      <w:r>
        <w:rPr>
          <w:rFonts w:ascii="Calibri" w:hAnsi="Calibri"/>
          <w:b w:val="0"/>
          <w:color w:val="3A4A28"/>
          <w:sz w:val="17"/>
        </w:rPr>
        <w:t>Chiron Real Estate Rebrand, Leadership, ESG, and Strategy — Nareit, ConnectMoney, BusinessWire,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