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ZION</w:t>
      </w:r>
      <w:r>
        <w:rPr>
          <w:rFonts w:ascii="Calibri" w:hAnsi="Calibri"/>
          <w:b/>
          <w:color w:val="1A2010"/>
          <w:sz w:val="40"/>
        </w:rPr>
        <w:t xml:space="preserve">  Zions Bancorporation, National Association</w:t>
      </w:r>
    </w:p>
    <w:p>
      <w:pPr>
        <w:spacing w:after="120"/>
      </w:pPr>
      <w:r>
        <w:rPr>
          <w:rFonts w:ascii="Calibri" w:hAnsi="Calibri"/>
          <w:b/>
          <w:color w:val="6E8450"/>
          <w:sz w:val="18"/>
        </w:rPr>
        <w:t>DIVIDEND SLEEVE · 2026-09-15 · Inspire: 53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Regional Banking · NASDAQ · United States</w:t>
      </w:r>
    </w:p>
    <w:p>
      <w:pPr>
        <w:spacing w:after="80"/>
      </w:pPr>
      <w:r>
        <w:rPr>
          <w:rFonts w:ascii="Calibri" w:hAnsi="Calibri"/>
          <w:b w:val="0"/>
          <w:color w:val="3A4A28"/>
          <w:sz w:val="20"/>
        </w:rPr>
        <w:t>Zions Bancorporation, National Association is a regional bank holding company operating as a 'Collection of Great Banks' with local brand names across the Western United States, including Zions Bank, Amegy Bank, California Bank &amp; Trust, National Bank of Arizona, Nevada State Bank, and Vectra Bank Colorado. With approximately $89 billion in total assets, the company provides commercial and retail banking, mortgage lending, and wealth management services through seven separately managed affiliate bank divisions across 11 Western and Southwestern states. Completed a landmark core banking modernization on TCS BaNCS in 2024. Founded in 1873, headquartered in Salt Lake City, Utah.</w:t>
      </w:r>
    </w:p>
    <w:p>
      <w:r>
        <w:rPr>
          <w:rFonts w:ascii="Calibri" w:hAnsi="Calibri"/>
          <w:b/>
          <w:color w:val="6E8450"/>
          <w:sz w:val="18"/>
        </w:rPr>
        <w:t>10,000 Employees · https://www.zionsbancorporation.com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Zions completed a landmark core banking modernization in 2024, migrating to the TCS BaNCS platform -- one of the first major US banks to fully replace its legacy core systems [1][4]. This multi-year transformation positions Zions to develop and deploy modern digital banking capabilities faster than peers still running decades-old core technology. Customer-related noninterest income grew 11% YoY in Q2 2026, driven by broad-based growth in capital markets, loan-related, and commercial account fee revenue, demonstrating product innovation traction [2]. AI Deployment (0/2): Zions sponsors Club Ability's AI Innovation Challenge and has deployed innovative AI and digital capabilities internally, but no AI products are shipping to customers with measurable revenue impact [3]. The AI Governance Committee and Innovate2Optimize program represent organizational readiness, not commercial deployment. Market Share (1/2): Zions has gained over 150 basis points of market share across its key Western US markets since 2022, a meaningful achievement in fragmented regional banking [4]. The 'Collection of Great Banks' model with local branding drives customer loyalty and retention. Product Pipeline (1/2): Plans to begin experimenting with stablecoins and tokenized deposits leveraging the modern TCS BaNCS core infrastructure. New CIO Margaret Mayer and Chief Transformation Officer Ken Collins are positioned to drive technology innovation, though timelines remain general [4]. R&amp;D Intensity (0/1): Banks do not report R&amp;D spending separately; technology investment is embedded in operating expenses.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Zions' stated purpose is 'Our goal is to create value. Value for our customers. Value for the communities we serve. Value for our employees. And, most importantly, value for our shareholders' [4]. This is generic and boilerplate -- interchangeable with virtually any public company. The emphasis on shareholder value as 'most important' is explicitly finite in orientation. Community Impact (1/2): The Zions Bancorporation Foundation provides charitable giving across its Western US footprint, and the bank funded approximately 77,000 Paycheck Protection Program loans during COVID [5]. The Small Business Diversity Banking Program and local employee-directed donation distributions demonstrate community commitment, though total charitable amounts are modest for a $10B market cap institution. Employee Retention (1/2): Chairman and CEO Harris Simmons has served since 2007, providing 19 years of consistent leadership. Former CTOO Jennifer Smith had a 20-year career at Zions before her planned departure [3]. Glassdoor ratings of 4.0/5 for work-life balance and culture/values, with 77% of employees recommending the company, suggest adequate organizational health [3]. Insider Buying (2/2): CEO Harris H. Simmons invested $265,635 in 4,500 shares of ZION on February 24, 2026, at $59.03 per share -- meaningful open-market insider conviction by the CEO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Zions delivered exceptional Q2 2026 results: revenue of $1.1B (+35.8% YoY), diluted EPS of $3.05 (nearly doubled), though $252M in net equity investment gains from Visa Class B-1 shares inflated results -- core EPS still grew 10% to $1.74 [2]. Q1 2026 net earnings were $232M ($1.56 EPS), up 38% YoY, with NII of $662M and NIM of 3.27% [1]. ROE of 16.4% exceeds the 15% target (score 1.0). Forward P/E of 10.14 is deeply discounted versus the 20 target (score 1.0). Profit margin of 31.8% substantially exceeds the 20% target (score 1.0) [1][2]. Revenue growth of 35.2% YoY clears the 10% target (score 1.0), though core growth excluding Visa gains was approximately 10-11%. Dividend metrics are strong: payout ratio of 28% is well below the 40% target (score 1.0), 33 consecutive years of dividend payments (score 1.0, 2x weight), 13 consecutive years of dividend increases (score 1.0, 1x weight), and 5-year dividend growth CAGR of 4.56% scores 0.76 versus the 6% target (2x weight) [6]. D/E and 5-year revenue CAGR excluded (unavailable for banks). Daily dollar volume of ~$106M ($69.18 x 1.53M avg volume)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Zions operates with a mixed infinite-finite orientation. The 'Collection of Great Banks' philosophy -- maintaining local brand names and management teams rather than consolidating under a single national brand -- demonstrates genuine long-term thinking about customer relationships and community presence rooted in 153 years of banking history. CEO Simmons' 19-year tenure and personal $265K share purchase signal aligned leadership. The courageous multi-year core banking modernization invested in future capability over near-term earnings. However, the stated mission explicitly prioritizes shareholder value (finite), and the company has not articulated an enduring purpose beyond financial returns.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Zions' stated purpose centers on 'creating value' for stakeholders with shareholders as 'most important' [4]. This is a finite game statement by definition -- shareholder value is a measurable, competitive outcome, not an enduring cause. The 'Collection of Great Banks' philosophy of preserving local community banking identities comes closer to a genuine cause, but leadership does not articulate it as such.</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Leadership stability is strong: Harris Simmons has been CEO for 19 years, and the recent technology leadership transition was orderly following Jennifer Smith's planned departure after a 20-year career [3]. Glassdoor scores of 4.0/5 for culture and values, with 77% recommending the company, suggest adequate trust [3]. The Everyone Counts Council provides employee voice. However, some Glassdoor reviews describe 'highly political' culture with 'pass the buck' accountability issues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Zions' 'Collection of Great Banks' strategy implicitly acknowledges that national banks have scale advantages while choosing to compete on local relationships and community expertise [4]. Rather than trying to beat JPMorgan or Bank of America on scale, Zions focuses on deepening its presence in Western US markets -- gaining 150+ bps of share through superior local service. This is an infinite competitive mindset that uses rivals' strengths as motivation to improve rather than to 'win.'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multi-year core banking modernization on TCS BaNCS represents significant strategic flexibility -- Zions willingly endured the operational risk and cost of completely replacing its core technology infrastructure, a move that has failed at other banks [4]. Exploration of stablecoins and tokenized deposits shows forward-looking adaptation. However, Zions has always been a community bank and continues to be one -- the changes are meaningful but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core banking modernization was a genuinely courageous multi-year investment. Replacing a legacy core system is one of the riskiest technology initiatives in banking -- many banks have attempted and failed. Zions committed to TCS BaNCS and completed the migration in 2024, positioning itself ahead of competitors still running decades-old systems [4]. CEO Simmons' $265,635 personal share purchase in February 2026 at $59.03 demonstrates aligned conviction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Zions Bancorporation delivered exceptional H1 2026 results: Q1 net earnings of $232M ($1.56 EPS, +38% YoY) and Q2 revenue of $1.1B with diluted EPS of $3.05 (nearly doubled), driven by NIM expansion to 3.27% and 11% customer-related noninterest income growth [1][2]. Core EPS excluding $252M in Visa Class B-1 equity gains still grew 10% to $1.74 in Q2, demonstrating underlying operational strength. At a forward P/E of 10.14 with a 2.57% dividend yield, 28% payout ratio, and 13 consecutive years of dividend increases, the stock is significantly undervalued versus historical banking multiples [6]. The completed TCS BaNCS core modernization provides a structural technology advantage over regional peers. CEO insider buying of $265K in February 2026 signals management conviction [6]. The $89B-asset bank maintains fortress-quality credit metrics with net charge-offs of just 0.03%.</w:t>
      </w:r>
    </w:p>
    <w:p>
      <w:pPr>
        <w:spacing w:after="120"/>
      </w:pPr>
      <w:r>
        <w:rPr>
          <w:rFonts w:ascii="Calibri" w:hAnsi="Calibri"/>
          <w:b w:val="0"/>
          <w:color w:val="3A4A28"/>
          <w:sz w:val="20"/>
        </w:rPr>
        <w:t>The bear case centers on earnings quality and structural growth limitations. Q2 2026 headline EPS of $3.05 was inflated by $252M in non-recurring Visa equity gains -- core EPS was $1.74, and future quarters will lack this boost [2]. The 5-year dividend growth CAGR of 4.56% trails the 6% target (roughly 2x inflation), and the 5-year revenue CAGR reflects the slow-growth nature of traditional banking. Zions' geographic concentration in Western US markets creates vulnerability to regional economic downturns, particularly in Texas (Amegy Bank) and California (California Bank &amp; Trust) commercial real estate. While AI deployment is progressing internally, no AI products generate external revenue, and fintech competitors continue to encroach on traditional banking fee streams. The explicitly shareholder-value-focused mission and mixed Glassdoor reviews (some describing a 'political' culture) suggest organizational limitations in the inspiration dimension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Monetization of the TCS BaNCS core platform advantage through faster digital product launches, potentially driving the efficiency ratio below 60% and expanding NIM beyond 3.27% [1][4]</w:t>
      </w:r>
    </w:p>
    <w:p>
      <w:pPr>
        <w:spacing w:before="40" w:after="40"/>
        <w:ind w:left="283"/>
      </w:pPr>
      <w:r>
        <w:rPr>
          <w:rFonts w:ascii="Calibri" w:hAnsi="Calibri"/>
          <w:b/>
          <w:color w:val="4A6B25"/>
          <w:sz w:val="20"/>
        </w:rPr>
        <w:t xml:space="preserve">2. </w:t>
      </w:r>
      <w:r>
        <w:rPr>
          <w:rFonts w:ascii="Calibri" w:hAnsi="Calibri"/>
          <w:b w:val="0"/>
          <w:color w:val="3A4A28"/>
          <w:sz w:val="20"/>
        </w:rPr>
        <w:t>Continued NIM expansion and customer-related noninterest income growth (11% in Q2 2026) as the interest rate environment stabilizes, supporting core earnings growth beyond the Visa one-time gains [2]</w:t>
      </w:r>
    </w:p>
    <w:p>
      <w:pPr>
        <w:spacing w:before="40" w:after="40"/>
        <w:ind w:left="283"/>
      </w:pPr>
      <w:r>
        <w:rPr>
          <w:rFonts w:ascii="Calibri" w:hAnsi="Calibri"/>
          <w:b/>
          <w:color w:val="4A6B25"/>
          <w:sz w:val="20"/>
        </w:rPr>
        <w:t xml:space="preserve">3. </w:t>
      </w:r>
      <w:r>
        <w:rPr>
          <w:rFonts w:ascii="Calibri" w:hAnsi="Calibri"/>
          <w:b w:val="0"/>
          <w:color w:val="3A4A28"/>
          <w:sz w:val="20"/>
        </w:rPr>
        <w:t>13 consecutive years of dividend increases with a 28% payout ratio provides substantial room for accelerated dividend growth, which could re-rate the stock toward the peer-group average valuation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Geographic concentration in 11 Western/Southwestern US states creates vulnerability to regional economic downturns, particularly in Texas and California commercial real estate markets [4]</w:t>
      </w:r>
    </w:p>
    <w:p>
      <w:pPr>
        <w:spacing w:before="40" w:after="40"/>
        <w:ind w:left="283"/>
      </w:pPr>
      <w:r>
        <w:rPr>
          <w:rFonts w:ascii="Calibri" w:hAnsi="Calibri"/>
          <w:b/>
          <w:color w:val="4A6B25"/>
          <w:sz w:val="20"/>
        </w:rPr>
        <w:t xml:space="preserve">2. </w:t>
      </w:r>
      <w:r>
        <w:rPr>
          <w:rFonts w:ascii="Calibri" w:hAnsi="Calibri"/>
          <w:b w:val="0"/>
          <w:color w:val="3A4A28"/>
          <w:sz w:val="20"/>
        </w:rPr>
        <w:t>5-year dividend growth CAGR of 4.56% trails the 6% target (2x inflation), and structural slow-growth banking dynamics may limit the ability to accelerate distributions despite the low 28% payout ratio [6]</w:t>
      </w:r>
    </w:p>
    <w:p>
      <w:pPr>
        <w:spacing w:before="40" w:after="40"/>
        <w:ind w:left="283"/>
      </w:pPr>
      <w:r>
        <w:rPr>
          <w:rFonts w:ascii="Calibri" w:hAnsi="Calibri"/>
          <w:b/>
          <w:color w:val="4A6B25"/>
          <w:sz w:val="20"/>
        </w:rPr>
        <w:t xml:space="preserve">3. </w:t>
      </w:r>
      <w:r>
        <w:rPr>
          <w:rFonts w:ascii="Calibri" w:hAnsi="Calibri"/>
          <w:b w:val="0"/>
          <w:color w:val="3A4A28"/>
          <w:sz w:val="20"/>
        </w:rPr>
        <w:t>Q2 2026 headline results masked by $252M Visa gains -- future quarters will normalize, and ROE of 16.4% may not sustain if credit conditions deteriorate from the current 0.03% net charge-off level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Banking is moderately protected from AI disruption. AI-powered fintech platforms can automate lending decisions, customer service, and routine financial advisory -- all core banking functions. However, Zions' community banking model with local brand names, relationship-driven commercial banking, FDIC insurance, state banking charters, and physical presence across 11 Western US states provide meaningful defensive moats that AI cannot easily replicate [4]. The completed core banking modernization on TCS BaNCS positions Zions to adopt AI tools proactively rather than be disrupted by them. Customer-related noninterest income growth of 11% in Q2 2026 demonstrates that relationship banking still drives revenue [2]. AI Opportunity (0/1): Zions deploys AI internally through the Innovate2Optimize program, AI Governance Committee, and digital capabilities, but no specific AI revenue is quantifiable [3]. The bank generates operational value from AI-driven risk management but does not sell AI products or services externally.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Zions Bancorporation Q1 2026 Earnings Release -- SEC Form 8-K, April 2026; NII $662M, NIM 3.27%, EPS $1.56</w:t>
      </w:r>
    </w:p>
    <w:p>
      <w:pPr>
        <w:spacing w:before="20" w:after="20"/>
        <w:ind w:left="170"/>
      </w:pPr>
      <w:r>
        <w:rPr>
          <w:rFonts w:ascii="Calibri" w:hAnsi="Calibri"/>
          <w:b/>
          <w:color w:val="4A6B25"/>
          <w:sz w:val="15"/>
        </w:rPr>
        <w:t xml:space="preserve">2. </w:t>
      </w:r>
      <w:r>
        <w:rPr>
          <w:rFonts w:ascii="Calibri" w:hAnsi="Calibri"/>
          <w:b w:val="0"/>
          <w:color w:val="3A4A28"/>
          <w:sz w:val="17"/>
        </w:rPr>
        <w:t>Zions Bancorporation Q2 2026 Earnings Release -- SEC Form 8-K, July 2026; Revenue $1.1B, EPS $3.05, $252M Visa equity gains, core EPS $1.74</w:t>
      </w:r>
    </w:p>
    <w:p>
      <w:pPr>
        <w:spacing w:before="20" w:after="20"/>
        <w:ind w:left="170"/>
      </w:pPr>
      <w:r>
        <w:rPr>
          <w:rFonts w:ascii="Calibri" w:hAnsi="Calibri"/>
          <w:b/>
          <w:color w:val="4A6B25"/>
          <w:sz w:val="15"/>
        </w:rPr>
        <w:t xml:space="preserve">3. </w:t>
      </w:r>
      <w:r>
        <w:rPr>
          <w:rFonts w:ascii="Calibri" w:hAnsi="Calibri"/>
          <w:b w:val="0"/>
          <w:color w:val="3A4A28"/>
          <w:sz w:val="17"/>
        </w:rPr>
        <w:t>Glassdoor -- Zions Bancorporation Reviews and Culture Ratings; AI Innovation Challenge sponsorship; Technology Leadership Changes, 2026</w:t>
      </w:r>
    </w:p>
    <w:p>
      <w:pPr>
        <w:spacing w:before="20" w:after="20"/>
        <w:ind w:left="170"/>
      </w:pPr>
      <w:r>
        <w:rPr>
          <w:rFonts w:ascii="Calibri" w:hAnsi="Calibri"/>
          <w:b/>
          <w:color w:val="4A6B25"/>
          <w:sz w:val="15"/>
        </w:rPr>
        <w:t xml:space="preserve">4. </w:t>
      </w:r>
      <w:r>
        <w:rPr>
          <w:rFonts w:ascii="Calibri" w:hAnsi="Calibri"/>
          <w:b w:val="0"/>
          <w:color w:val="3A4A28"/>
          <w:sz w:val="17"/>
        </w:rPr>
        <w:t>Zions Bancorporation 2025 Annual Report (Form 10-K) -- SEC; 'Collection of Great Banks' model, 150+ bps market share gain, TCS BaNCS completion</w:t>
      </w:r>
    </w:p>
    <w:p>
      <w:pPr>
        <w:spacing w:before="20" w:after="20"/>
        <w:ind w:left="170"/>
      </w:pPr>
      <w:r>
        <w:rPr>
          <w:rFonts w:ascii="Calibri" w:hAnsi="Calibri"/>
          <w:b/>
          <w:color w:val="4A6B25"/>
          <w:sz w:val="15"/>
        </w:rPr>
        <w:t xml:space="preserve">5. </w:t>
      </w:r>
      <w:r>
        <w:rPr>
          <w:rFonts w:ascii="Calibri" w:hAnsi="Calibri"/>
          <w:b w:val="0"/>
          <w:color w:val="3A4A28"/>
          <w:sz w:val="17"/>
        </w:rPr>
        <w:t>Sustainalytics / Yahoo Finance -- Zions Bancorporation ESG Risk Rating, Corporate Responsibility Report,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Dividend.com / StockAnalysis -- ZION dividend history: $1.80 annual, 2.57% yield, 28% payout, 33 years paid, 13 years growth, 4.56% 5yr CAGR; CEO Simmons $265K purchase,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