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ZONE</w:t>
      </w:r>
      <w:r>
        <w:rPr>
          <w:rFonts w:ascii="Calibri" w:hAnsi="Calibri"/>
          <w:b/>
          <w:color w:val="1A2010"/>
          <w:sz w:val="40"/>
        </w:rPr>
        <w:t xml:space="preserve">  Zone Frontier Inc.</w:t>
      </w:r>
    </w:p>
    <w:p>
      <w:pPr>
        <w:spacing w:after="120"/>
      </w:pPr>
      <w:r>
        <w:rPr>
          <w:rFonts w:ascii="Calibri" w:hAnsi="Calibri"/>
          <w:b/>
          <w:color w:val="6E8450"/>
          <w:sz w:val="18"/>
        </w:rPr>
        <w:t>GROWTH SLEEVE · 2026-09-09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Data Center Infrastructure · NYSE American · United States</w:t>
      </w:r>
    </w:p>
    <w:p>
      <w:pPr>
        <w:spacing w:after="80"/>
      </w:pPr>
      <w:r>
        <w:rPr>
          <w:rFonts w:ascii="Calibri" w:hAnsi="Calibri"/>
          <w:b w:val="0"/>
          <w:color w:val="3A4A28"/>
          <w:sz w:val="20"/>
        </w:rPr>
        <w:t>Zone Frontier Inc. (formerly CleanCore Solutions) completed its corporate name change on August 31, 2026, pivoting from patented aqueous ozone cleaning technology to developing critical infrastructure for artificial intelligence applications. The company plans to build data center campuses providing land, power, and infrastructure for AI companies in rural and industrial locations. Previously pursued a controversial Dogecoin treasury strategy that resulted in a $148.5M nine-month net loss including $107M in digital asset fair value declines and $29M in realized crypto losses. Management discloses substantial doubt about the company's ability to continue as a going concern. Market cap approximately $32M.</w:t>
      </w:r>
    </w:p>
    <w:p>
      <w:r>
        <w:rPr>
          <w:rFonts w:ascii="Calibri" w:hAnsi="Calibri"/>
          <w:b/>
          <w:color w:val="6E8450"/>
          <w:sz w:val="18"/>
        </w:rPr>
        <w:t>25 Employees · https://www.cleancoresol.com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Zone Frontier has executed no successful product launches or platform pivots in AI infrastructure — the company has pivoted three times in four years (aqueous ozone cleaning to Dogecoin treasury to AI data center development) without demonstrating commercial viability in any domain [1]. The original patented nanobubble cleaning technology was a genuine innovation (59% gross margins) but is now being abandoned. The Sanzonate Europe acquisition expanded cleaning distribution but is irrelevant to the new strategy. AI Deployment (0/2): No AI products shipping, no AI-driven revenue or quantified efficiency gains. The company aspires to build data centers for AI companies but has zero operational infrastructure [2]. Market Share (0/2): Zero market share in any category — the cleaning products generated only $2.52M in nine-month revenue, and the AI infrastructure segment has zero revenue [1]. Product Pipeline (1/2): The AI data center development concept addresses real market demand, and the appointment of CEO Tyler Hassen with energy/industrial and DOI permitting experience provides a credible operational leader, but no concrete projects are contracted or funded [2]. R&amp;D Intensity (1/1): The company holds patents on aqueous ozone nanobubble technology and completed the Sanzonate Europe acquisition, though these assets are now de-prioritized in favor of infrastructure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stated purpose — 'building the critical infrastructure that powers the AI economy' — is generic and indistinguishable from dozens of SPAC-like pivots chasing the AI narrative [2]. The company's three strategic pivots in four years (cleaning products to Dogecoin to AI infrastructure) undermine any claim to enduring purpose. Community Impact (0/2): No evidence of charitable programs, community investment, or philanthropic initiatives. The company's rural data center strategy could theoretically benefit communities but no projects are underway. Employee Retention (1/2): As a micro-cap company with approximately 25 employees, retention metrics are unavailable. CEO Tyler Hassen brings relevant energy/industrial sector experience from Basin Holdings and the Department of the Interior, and Chairman Alex Spiro provides governance expertise [2]. Insider Buying (0/2): No evidence of meaningful net insider buying; the company has relied on repeated equity issuance diluting shareholders significantly.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severely limited available metrics — most financial ratios are unavailable for this pre-revenue micro-cap. Revenue growth YoY of 113.6% scores perfectly but is from a negligible $1.18M base to $2.52M over nine months, driven partly by a single $872K customer [1]. Profit margin is catastrophically negative at approximately -5,893% as nine-month net loss of $148.5M dwarfs $2.52M revenue, though $136M of losses stem from Dogecoin treasury write-downs rather than operating performance [1][4]. ROE, D/E, forward P/E, and PEG are unavailable or not meaningful for an unprofitable company with going concern doubts. The infrastructure score of 5 reflects limited data availability (only 2 scorable metrics) and should be interpreted with extreme caution — this is a company whose auditors express substantial doubt about its ability to continue as a going concern. Liquidity floor is barely met at ~$1.02M daily dollar volume ($0.16 x 6.39M shares)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Zone Frontier epitomizes finite-game thinking — a company that has chased three entirely different strategic narratives in four years (cleaning technology, Dogecoin treasury, AI infrastructure) without demonstrating commitment to any enduring purpose. The Dogecoin treasury strategy, which resulted in $148.5M in losses, reflects speculative opportunism rather than strategic courage [3]. The latest pivot to AI infrastructure may prove more durable under new CEO Tyler Hassen, but the pattern of trend-chasing undermines confidence in long-term commitment.</w:t>
      </w:r>
    </w:p>
    <w:p>
      <w:pPr>
        <w:spacing w:before="200" w:after="40"/>
      </w:pPr>
      <w:r>
        <w:rPr>
          <w:rFonts w:ascii="Calibri" w:hAnsi="Calibri"/>
          <w:b/>
          <w:color w:val="1A2010"/>
          <w:sz w:val="22"/>
        </w:rPr>
        <w:t>Just Cause</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Three complete strategic pivots in four years — aqueous ozone cleaning to Dogecoin treasury management to AI data center development — demonstrate the absence of any durable cause [1][2]. The company exists to capitalize on whatever market narrative is ascendant, not to advance a vision of a better future. CEO Hassen's language about 'compute becoming one of the most valuable resources' is commercially motivated, not cause-driven.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has changed CEOs, abandoned its stated mission, and pivoted its entire business model twice in two years [2]. Employees in the cleaning products division face business exit. The nine-month net loss of $148.5M on $2.52M revenue creates existential organizational uncertainty. Tyler Hassen's DOI and Basin Holdings background brings some leadership credibility, and Chairman Alex Spiro provides governance expertise, but no evidence of employee empowerment or psychological safety exists.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self-awareness or learning from rivals. Zone Frontier's AI infrastructure ambitions place it against established data center developers (Equinix, Digital Realty, QTS) and well-capitalized hyperscalers (AWS, Google, Microsoft), but the company has not articulated how it will differentiate or what it has learned from these competitors' playbooks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Zone Frontier has demonstrated dramatic willingness to pivot — abandoning its original cleaning technology business and Dogecoin treasury strategy to pursue AI infrastructure [2]. However, Sinek's existential flexibility must serve a Just Cause, not market sentiment. The Dogecoin strategy was abandoned after $148.5M in losses [1][4], and the AI pivot followed Dogecoin's collapse — suggesting reactive desperation rather than proactive cause-driven transformation. The company liquidated 463M Dogecoin to fund its AI infrastructure ambitions.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Dogecoin treasury strategy — accumulating hundreds of millions of DOGE through a Robinhood partnership — was framed as 'contrarian thinking' but resulted in catastrophic losses that nearly destroyed the company [3][4]. True courage involves taking costly long-term bets aligned with purpose; Zone Frontier's crypto gambit was speculative risk-taking disconnected from any strategic thesis. The going concern status and required financial restatement (unrecorded 70M Dogecoin transfer) suggest governance failures rather than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Zone Frontier at $0.16 per share is a speculative micro-cap that has destroyed significant shareholder value through its Dogecoin treasury strategy, recording a $148.5M nine-month net loss on just $2.52M in revenue [1]. The company completed its name change to Zone Frontier on August 31, 2026, signaling commitment to the AI data center pivot under CEO Tyler Hassen, who brings relevant energy and government permitting expertise from his DOI tenure [2]. The non-binding LOI for a Midwest data center project addresses genuine AI infrastructure demand, and revenue from the legacy cleaning business grew 113.6% YoY to $2.52M in nine months.</w:t>
      </w:r>
    </w:p>
    <w:p>
      <w:pPr>
        <w:spacing w:after="120"/>
      </w:pPr>
      <w:r>
        <w:rPr>
          <w:rFonts w:ascii="Calibri" w:hAnsi="Calibri"/>
          <w:b w:val="0"/>
          <w:color w:val="3A4A28"/>
          <w:sz w:val="20"/>
        </w:rPr>
        <w:t>The bear case is overwhelming. Zone Frontier's track record of three strategic pivots in four years (cleaning to Dogecoin to AI data centers) suggests trend-chasing rather than genuine capability building [2][3]. The $148.5M net loss from Dogecoin speculation consumed capital needed for infrastructure development, and a required financial restatement after failing to record a 70M DOGE transfer raises serious governance concerns [4]. The stock has crashed 78% from its highs to $0.16, reflecting market skepticism. With $32M market cap, going concern doubts, and no contracted AI infrastructure projects, Zone Frontier faces an extremely high bar to regain investor confidence. The stock barely meets the liquidity floor at ~$1.02M daily dollar volume, and any further price decline would breach it [5]. Execution risk is maximal — the company must raise significant capital to build data centers while its equity trades as a penny stock with severely depleted credibility.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Midwest data center project conversion from non-binding LOI to binding agreement with committed capital, power procurement, and construction timeline would validate the AI infrastructure pivot [2]</w:t>
      </w:r>
    </w:p>
    <w:p>
      <w:pPr>
        <w:spacing w:before="40" w:after="40"/>
        <w:ind w:left="283"/>
      </w:pPr>
      <w:r>
        <w:rPr>
          <w:rFonts w:ascii="Calibri" w:hAnsi="Calibri"/>
          <w:b/>
          <w:color w:val="4A6B25"/>
          <w:sz w:val="20"/>
        </w:rPr>
        <w:t xml:space="preserve">2. </w:t>
      </w:r>
      <w:r>
        <w:rPr>
          <w:rFonts w:ascii="Calibri" w:hAnsi="Calibri"/>
          <w:b w:val="0"/>
          <w:color w:val="3A4A28"/>
          <w:sz w:val="20"/>
        </w:rPr>
        <w:t>Strategic partnership or anchor tenant agreement with an established AI or hyperscale company would address going concern doubts and provide revenue visibility for infrastructure development</w:t>
      </w:r>
    </w:p>
    <w:p>
      <w:pPr>
        <w:spacing w:before="40" w:after="40"/>
        <w:ind w:left="283"/>
      </w:pPr>
      <w:r>
        <w:rPr>
          <w:rFonts w:ascii="Calibri" w:hAnsi="Calibri"/>
          <w:b/>
          <w:color w:val="4A6B25"/>
          <w:sz w:val="20"/>
        </w:rPr>
        <w:t xml:space="preserve">3. </w:t>
      </w:r>
      <w:r>
        <w:rPr>
          <w:rFonts w:ascii="Calibri" w:hAnsi="Calibri"/>
          <w:b w:val="0"/>
          <w:color w:val="3A4A28"/>
          <w:sz w:val="20"/>
        </w:rPr>
        <w:t>CEO Tyler Hassen's government and energy sector relationships (former Acting Assistant Secretary, DOI) could accelerate permitting and site acquisition if the first project achieves milestones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qualification — management acknowledges substantial doubt about the company's ability to continue operating, and $148.5M net loss has severely depleted capital needed for any infrastructure buildout [1]</w:t>
      </w:r>
    </w:p>
    <w:p>
      <w:pPr>
        <w:spacing w:before="40" w:after="40"/>
        <w:ind w:left="283"/>
      </w:pPr>
      <w:r>
        <w:rPr>
          <w:rFonts w:ascii="Calibri" w:hAnsi="Calibri"/>
          <w:b/>
          <w:color w:val="4A6B25"/>
          <w:sz w:val="20"/>
        </w:rPr>
        <w:t xml:space="preserve">2. </w:t>
      </w:r>
      <w:r>
        <w:rPr>
          <w:rFonts w:ascii="Calibri" w:hAnsi="Calibri"/>
          <w:b w:val="0"/>
          <w:color w:val="3A4A28"/>
          <w:sz w:val="20"/>
        </w:rPr>
        <w:t>Penny stock dilution risk — at $0.16 with $32M market cap, any capital raise will massively dilute existing shareholders, and the stock barely meets the $1M daily dollar volume liquidity floor [5]</w:t>
      </w:r>
    </w:p>
    <w:p>
      <w:pPr>
        <w:spacing w:before="40" w:after="40"/>
        <w:ind w:left="283"/>
      </w:pPr>
      <w:r>
        <w:rPr>
          <w:rFonts w:ascii="Calibri" w:hAnsi="Calibri"/>
          <w:b/>
          <w:color w:val="4A6B25"/>
          <w:sz w:val="20"/>
        </w:rPr>
        <w:t xml:space="preserve">3. </w:t>
      </w:r>
      <w:r>
        <w:rPr>
          <w:rFonts w:ascii="Calibri" w:hAnsi="Calibri"/>
          <w:b w:val="0"/>
          <w:color w:val="3A4A28"/>
          <w:sz w:val="20"/>
        </w:rPr>
        <w:t>Zero track record in data center development — the company has never built, operated, or managed any data center infrastructure, competing against well-capitalized operators with decades of experience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Zone Frontier's legacy cleaning products business faces minimal AI disruption risk — aqueous ozone technology is a physical product with no direct AI substitution threat. The company's strategic pivot toward AI data center infrastructure theoretically positions it to benefit from AI growth, but this pivot is entirely aspirational with no contracted projects, no revenue, and only a non-binding LOI for one Midwest site [2]. The company lacks the moats that protect established data center operators (Equinix, Digital Realty) — no existing facilities, no customer relationships, no power procurement agreements, and no construction track record. The going concern status and $148.5M in crypto-related losses raise fundamental questions about the company's ability to execute any capital-intensive infrastructure buildout [1][4]. AI Opportunity (0/1): Despite positioning itself as an AI infrastructure company, Zone Frontier generates zero AI-related revenue and has no operating data centers, no customers, and no binding contracts for future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CleanCore Solutions Q3 FY2026 10-Q Summary — Revenue $543.69K, 9-Month Revenue $2.52M (+113.6%), Net Loss $148.5M, EPS ($0.14), TradingView, 2026</w:t>
      </w:r>
    </w:p>
    <w:p>
      <w:pPr>
        <w:spacing w:before="20" w:after="20"/>
        <w:ind w:left="170"/>
      </w:pPr>
      <w:r>
        <w:rPr>
          <w:rFonts w:ascii="Calibri" w:hAnsi="Calibri"/>
          <w:b/>
          <w:color w:val="4A6B25"/>
          <w:sz w:val="15"/>
        </w:rPr>
        <w:t xml:space="preserve">2. </w:t>
      </w:r>
      <w:r>
        <w:rPr>
          <w:rFonts w:ascii="Calibri" w:hAnsi="Calibri"/>
          <w:b w:val="0"/>
          <w:color w:val="3A4A28"/>
          <w:sz w:val="17"/>
        </w:rPr>
        <w:t>CleanCore Solutions CEO Appointment — Tyler Hassen Named CEO to Lead AI Infrastructure Buildout, Non-Binding LOI for Midwest Data Center, PR Newswire, June 2026</w:t>
      </w:r>
    </w:p>
    <w:p>
      <w:pPr>
        <w:spacing w:before="20" w:after="20"/>
        <w:ind w:left="170"/>
      </w:pPr>
      <w:r>
        <w:rPr>
          <w:rFonts w:ascii="Calibri" w:hAnsi="Calibri"/>
          <w:b/>
          <w:color w:val="4A6B25"/>
          <w:sz w:val="15"/>
        </w:rPr>
        <w:t xml:space="preserve">3. </w:t>
      </w:r>
      <w:r>
        <w:rPr>
          <w:rFonts w:ascii="Calibri" w:hAnsi="Calibri"/>
          <w:b w:val="0"/>
          <w:color w:val="3A4A28"/>
          <w:sz w:val="17"/>
        </w:rPr>
        <w:t>Seeking Alpha — 'CleanCore Solutions: An Unprofitable Business Treasuring A Meme Coin' — Dogecoin Treasury Strategy Analysis, 2026</w:t>
      </w:r>
    </w:p>
    <w:p>
      <w:pPr>
        <w:spacing w:before="20" w:after="20"/>
        <w:ind w:left="170"/>
      </w:pPr>
      <w:r>
        <w:rPr>
          <w:rFonts w:ascii="Calibri" w:hAnsi="Calibri"/>
          <w:b/>
          <w:color w:val="4A6B25"/>
          <w:sz w:val="15"/>
        </w:rPr>
        <w:t xml:space="preserve">4. </w:t>
      </w:r>
      <w:r>
        <w:rPr>
          <w:rFonts w:ascii="Calibri" w:hAnsi="Calibri"/>
          <w:b w:val="0"/>
          <w:color w:val="3A4A28"/>
          <w:sz w:val="17"/>
        </w:rPr>
        <w:t>CleanCore Solutions 8-K — Restatement of Q3 2026 Results After Unrecorded 70M Dogecoin Transfer, SEC Filing,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ZONE Key Statistics: Stock Price $0.16, Market Cap $32.18M, Avg Volume 6.39M, EPS -$1.16,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