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ZTS</w:t>
      </w:r>
      <w:r>
        <w:rPr>
          <w:rFonts w:ascii="Calibri" w:hAnsi="Calibri"/>
          <w:b/>
          <w:color w:val="1A2010"/>
          <w:sz w:val="40"/>
        </w:rPr>
        <w:t xml:space="preserve">  Zoetis Inc.</w:t>
      </w:r>
    </w:p>
    <w:p>
      <w:pPr>
        <w:spacing w:after="120"/>
      </w:pPr>
      <w:r>
        <w:rPr>
          <w:rFonts w:ascii="Calibri" w:hAnsi="Calibri"/>
          <w:b/>
          <w:color w:val="6E8450"/>
          <w:sz w:val="18"/>
        </w:rPr>
        <w:t>DIVIDEND SLEEVE · 2026-08-31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Animal Health · NYSE · United States</w:t>
      </w:r>
    </w:p>
    <w:p>
      <w:pPr>
        <w:spacing w:after="80"/>
      </w:pPr>
      <w:r>
        <w:rPr>
          <w:rFonts w:ascii="Calibri" w:hAnsi="Calibri"/>
          <w:b w:val="0"/>
          <w:color w:val="3A4A28"/>
          <w:sz w:val="20"/>
        </w:rPr>
        <w:t>Zoetis discovers, develops, manufactures, and commercializes medicines, vaccines, diagnostics, and biodevices for companion animals and livestock. Spun off from Pfizer in 2013, Zoetis is the world's largest animal health company by revenue, serving veterinarians, livestock producers, and pet owners in more than 100 countries. The portfolio includes parasiticides, anti-infectives, vaccines, dermatology products, and the groundbreaking Librela monoclonal antibody pain treatment. Zoetis reported FY2025 revenue of $9.47B but guided FY2026 to $9.12-$9.32B due to U.S. companion animal demand softening and competitive pricing pressure.</w:t>
      </w:r>
    </w:p>
    <w:p>
      <w:r>
        <w:rPr>
          <w:rFonts w:ascii="Calibri" w:hAnsi="Calibri"/>
          <w:b/>
          <w:color w:val="6E8450"/>
          <w:sz w:val="18"/>
        </w:rPr>
        <w:t>13,800 Employees · https://www.zoetis.com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Zoetis launched Librela (bedinvetmab), the first-ever monoclonal antibody pain treatment for dogs and cats, representing a paradigm shift in veterinary therapeutics from traditional NSAIDs to biologics [1]. The company also expanded into point-of-care diagnostics and genetic testing, diversifying beyond traditional pharma. However, the core business model remains animal health pharmaceuticals without a transformative company-level pivot. AI Deployment (1/2): Over 80% of Zoetis computer-based colleagues actively use the enterprise AI platform, and the company is deploying AI in diagnostic solutions and exploring AI-accelerated drug discovery [2]. No AI-powered products are shipping to veterinary customers yet, and no specific cost savings have been quantified publicly. Market Share (2/2): Zoetis is the undisputed global leader in animal health with ~$9.5B in annual revenue, approximately 2x the size of its nearest competitor Elanco [1]. The company holds dominant positions in companion animal parasiticides, vaccines, and the emerging biologics category with Librela. Pipeline (1/2): Librela cat formulation expansion and a pipeline of next-generation parasiticides and vaccines are in development, but specific next-gen products with named launch dates and revenue visibility are limited beyond the current product cycle [1]. R&amp;D Intensity (1/1): Zoetis invests over $600M annually in R&amp;D, approximately 6-7% of revenue, above the animal health industry average and reflecting commitment to biologics and diagnostics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Zoetis' purpose — 'to nurture our world and humankind by advancing care for animals' — is specific, thoughtful, and connects the company's work to a larger purpose beyond profit [2]. The mission reflects genuine intentionality about the human-animal bond and has been consistently articulated since the 2013 Pfizer spinoff. Community Impact (1/2): The Driven to Care sustainability program includes veterinary community support, environmental targets, and colleague engagement initiatives, but specific charitable dollar amounts and distinctive community investment data were not found [3]. Employee Retention (1/2): The annual colleague engagement survey showed 87% engagement, exceeding industry benchmarks, and the company promotes a 'minimum viable bureaucracy' culture emphasizing cross-functional collaboration [2]. No specific turnover rates or average tenure figures were publicly available. Insider Buying (0/2): Company insiders collectively sold $3.1M more than they bought via options and on-market transactions in the last 12 months, indicating net selling rather than insider conviction at current prices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Zoetis demonstrates exceptional profitability with ROE of 49.87% and profit margin of 27.68%, both well above targets [4]. Forward P/E of ~12x reflects a steep discount to the stock's 5-year average of ~30x following the substantial 2026 guidance cut (adjusted EPS reduced from $6.85-$7.00 to $6.15-$6.25) [1]. The conservative dividend payout ratio of 33.71% with 14 consecutive years of payment, 13 consecutive years of increases, and a 5-year dividend growth CAGR of ~16% provide strong income characteristics. The primary drags are D/E of 135%, moderately above the 70% target, and organic operational revenue declining 1-3% in FY2026 as U.S. companion animal sales fell 11% due to competitive pricing pressure [1]. The 5-year revenue CAGR of 4.67% is below the 10% target, reflecting the maturation of the base business. Liquidity is ample at $73.79 stock price with 5.1M average daily volume (~$377M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Zoetis demonstrates genuine purpose orientation rooted in advancing animal care, with consistent execution since the 2013 Pfizer spinoff. CEO Kristin Peck has navigated the company through the current U.S. companion animal downturn while maintaining R&amp;D investment in next-generation biologics. The 87% employee engagement score and collaborative culture suggest organizational health. However, the company has not yet faced a true existential test that would validate infinite game commitment, and the recent guidance cut reveals vulnerability to market cyclicality.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'Nurture our world and humankind by advancing care for animals' is a genuine cause connecting Zoetis' work to a larger purpose — the human-animal bond and global food security [2]. The cause has been consistently articulated since the 2013 spinoff, and strategic decisions (investing in Librela biologics, expanding diagnostics) trace back to advancing animal care. However, the cause has not been tested through multi-decade crisis or leadership transition — Kristin Peck has led since 2020, and the 2026 downturn is the first significant test.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Zoetis reports 87% colleague engagement exceeding industry benchmarks, and the 'minimum viable bureaucracy' culture emphasizes cross-functional collaboration and streamlined decision-making [2]. Leadership continuity has been stable under CEO Peck since 2020, with deliberate succession for the R&amp;D president role (Kevin Esch replacing Rob Polzer in 2026). No specific data on voluntary turnover or average tenure was found to confirm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Zoetis competes with Elanco, Merck Animal Health, and Boehringer Ingelheim in a collaborative landscape where innovation leadership — not market share warfare — drives differentiation [1]. The company focuses on advancing its own biologics and diagnostics capabilities rather than predatory pricing. Management commentary references improving animal health outcomes rather than defeating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Zoetis has evolved from a Pfizer division focused on traditional animal pharmaceuticals into a standalone company expanding into biologics (Librela), point-of-care diagnostics, genetic testing, and data-driven livestock management [1]. These represent meaningful incremental expansions into adjacent markets. However, no transformative pivot has occurred — the evolution has been additive rather than cannibalistic of existing revenue streams.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Zoetis invested heavily in Librela development and launch despite uncertainty about monoclonal antibody pricing adoption in veterinary medicine — a bet that created an entirely new category in animal pain management [1]. CEO Peck has maintained R&amp;D investment levels through the 2026 downturn rather than cutting to protect short-term margins. However, the guidance cut and revenue decline suggest reactive navigation rather than proactive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Zoetis remains the undisputed global leader in animal health with 27.68% profit margins, 49.87% ROE, and a dominant market position approximately 2x the size of nearest competitor Elanco [1][4]. The stock at ~12x forward earnings trades at a steep discount to its 5-year average of ~30x, reflecting the 2026 guidance cut (organic revenue -1% to -3%, adjusted EPS $6.15-$6.25 vs. prior $6.85-$7.00). Librela represents a transformative franchise — the first monoclonal antibody pain treatment for companion animals — that could reshape the veterinary therapeutics market as it gains broader adoption. The dividend has grown at a 16.2% 5-year CAGR with a conservative 34% payout ratio, providing compounding income potential. International livestock revenue grew 23% in Q2, demonstrating diversification beyond the challenged U.S. companion animal market [1].</w:t>
      </w:r>
    </w:p>
    <w:p>
      <w:pPr>
        <w:spacing w:after="120"/>
      </w:pPr>
      <w:r>
        <w:rPr>
          <w:rFonts w:ascii="Calibri" w:hAnsi="Calibri"/>
          <w:b w:val="0"/>
          <w:color w:val="3A4A28"/>
          <w:sz w:val="20"/>
        </w:rPr>
        <w:t>The bear case centers on deteriorating U.S. companion animal fundamentals — U.S. companion animal sales declined 11% in Q2 2026 due to competitive pricing pressure, gross-to-net adjustments, and softening demand that prompted the most significant guidance cut in Zoetis' history as a public company [1]. The 5-year revenue CAGR of just 4.67% raises questions about whether the animal health market's growth trajectory has structurally slowed. Insider selling of $3.1M net in the last 12 months signals management's reduced conviction at current valuations [4]. The FY2026 organic operational revenue decline of 1-3% represents a significant reversal from the company's historical mid-to-high single digit growth profile. The D/E of 135% provides less balance sheet flexibility to weather a prolonged downturn.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Librela adoption curve acceleration in companion animal pain management — as veterinarians gain comfort with monoclonal antibody dosing and pet owners experience superior outcomes vs. traditional NSAIDs, recurring revenue per patient should increase significantly [1]</w:t>
      </w:r>
    </w:p>
    <w:p>
      <w:pPr>
        <w:spacing w:before="40" w:after="40"/>
        <w:ind w:left="283"/>
      </w:pPr>
      <w:r>
        <w:rPr>
          <w:rFonts w:ascii="Calibri" w:hAnsi="Calibri"/>
          <w:b/>
          <w:color w:val="4A6B25"/>
          <w:sz w:val="20"/>
        </w:rPr>
        <w:t xml:space="preserve">2. </w:t>
      </w:r>
      <w:r>
        <w:rPr>
          <w:rFonts w:ascii="Calibri" w:hAnsi="Calibri"/>
          <w:b w:val="0"/>
          <w:color w:val="3A4A28"/>
          <w:sz w:val="20"/>
        </w:rPr>
        <w:t>International livestock revenue growth (+23% Q2 2026) driven by protein demand in emerging markets and vaccine penetration in underserved geographies could offset U.S. companion animal weakness [1]</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opportunity as the stock trades at ~12x forward earnings vs. its 5-year average of ~30x — any stabilization in U.S. companion animal demand could trigger significant multiple expansion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U.S. companion animal softening as competitive pricing pressure from generics and gross-to-net adjustments compress margins — the 11% Q2 decline could represent a structural shift rather than a cyclical trough [1]</w:t>
      </w:r>
    </w:p>
    <w:p>
      <w:pPr>
        <w:spacing w:before="40" w:after="40"/>
        <w:ind w:left="283"/>
      </w:pPr>
      <w:r>
        <w:rPr>
          <w:rFonts w:ascii="Calibri" w:hAnsi="Calibri"/>
          <w:b/>
          <w:color w:val="4A6B25"/>
          <w:sz w:val="20"/>
        </w:rPr>
        <w:t xml:space="preserve">2. </w:t>
      </w:r>
      <w:r>
        <w:rPr>
          <w:rFonts w:ascii="Calibri" w:hAnsi="Calibri"/>
          <w:b w:val="0"/>
          <w:color w:val="3A4A28"/>
          <w:sz w:val="20"/>
        </w:rPr>
        <w:t>Librela safety monitoring risk as the monoclonal antibody gains broader adoption — any adverse event signal in post-market surveillance could damage the franchise and broader biologics pipeline credibility [1]</w:t>
      </w:r>
    </w:p>
    <w:p>
      <w:pPr>
        <w:spacing w:before="40" w:after="40"/>
        <w:ind w:left="283"/>
      </w:pPr>
      <w:r>
        <w:rPr>
          <w:rFonts w:ascii="Calibri" w:hAnsi="Calibri"/>
          <w:b/>
          <w:color w:val="4A6B25"/>
          <w:sz w:val="20"/>
        </w:rPr>
        <w:t xml:space="preserve">3. </w:t>
      </w:r>
      <w:r>
        <w:rPr>
          <w:rFonts w:ascii="Calibri" w:hAnsi="Calibri"/>
          <w:b w:val="0"/>
          <w:color w:val="3A4A28"/>
          <w:sz w:val="20"/>
        </w:rPr>
        <w:t>Currency headwinds from a strong U.S. dollar impacting international revenue translation, with approximately 50% of revenue generated outside the United States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Zoetis' core business is structurally immune to AI disruption — manufacturing biological pharmaceuticals, vaccines, and diagnostics for animals requires physical-world operations including wet-lab R&amp;D, FDA-regulated biomanufacturing, and a global distribution network reaching veterinary practices and livestock operations [1]. AI cannot substitute for the physical delivery of injectable monoclonal antibodies (Librela), oral parasiticides, or livestock vaccines. The companion animal and livestock markets are driven by pet ownership trends and food production demand, not digital services susceptible to AI replacement. AI Opportunity (0/1): While Zoetis has achieved 80%+ internal AI adoption and explores AI in drug discovery and diagnostics R&amp;D, the company does not generate separately quantifiable revenue from AI products or services [2]. AI is an operational efficiency enabler, not a revenue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Zoetis Q2 2026 Earnings Release — Revenue $2.5B (flat YoY), revised FY2026 guidance: revenue $9.12-$9.32B (organic -3% to -1%), adjusted EPS $6.15-$6.25, U.S. companion animal -11%, international livestock +23%, August 2026</w:t>
      </w:r>
    </w:p>
    <w:p>
      <w:pPr>
        <w:spacing w:before="20" w:after="20"/>
        <w:ind w:left="170"/>
      </w:pPr>
      <w:r>
        <w:rPr>
          <w:rFonts w:ascii="Calibri" w:hAnsi="Calibri"/>
          <w:b/>
          <w:color w:val="4A6B25"/>
          <w:sz w:val="15"/>
        </w:rPr>
        <w:t xml:space="preserve">2. </w:t>
      </w:r>
      <w:r>
        <w:rPr>
          <w:rFonts w:ascii="Calibri" w:hAnsi="Calibri"/>
          <w:b w:val="0"/>
          <w:color w:val="3A4A28"/>
          <w:sz w:val="17"/>
        </w:rPr>
        <w:t>Zoetis AI &amp; Innovation Strategy — 80%+ enterprise AI adoption, minimum viable bureaucracy culture, 87% colleague engagement, diagnostics and drug discovery AI applications — CDO Magazine, Zoetis Investor Relations, 2025-2026</w:t>
      </w:r>
    </w:p>
    <w:p>
      <w:pPr>
        <w:spacing w:before="20" w:after="20"/>
        <w:ind w:left="170"/>
      </w:pPr>
      <w:r>
        <w:rPr>
          <w:rFonts w:ascii="Calibri" w:hAnsi="Calibri"/>
          <w:b/>
          <w:color w:val="4A6B25"/>
          <w:sz w:val="15"/>
        </w:rPr>
        <w:t xml:space="preserve">3. </w:t>
      </w:r>
      <w:r>
        <w:rPr>
          <w:rFonts w:ascii="Calibri" w:hAnsi="Calibri"/>
          <w:b w:val="0"/>
          <w:color w:val="3A4A28"/>
          <w:sz w:val="17"/>
        </w:rPr>
        <w:t>Zoetis ESG &amp; Sustainability — Driven to Care program, Sustainalytics ESG Risk score 19 (Low), veterinary community support — Zoetis ESG Review, Sustainalytics, KnowESG,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ZTS Key Statistics: Forward P/E ~12x, ROE 49.87%, Profit Margin 27.68%, D/E 135%, Stock Price $73.79, Avg Volume 5.1M, Dividend Yield 2.86%,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