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AII</w:t>
      </w:r>
      <w:r>
        <w:rPr>
          <w:rFonts w:ascii="Calibri" w:hAnsi="Calibri"/>
          <w:b/>
          <w:color w:val="1A2010"/>
          <w:sz w:val="40"/>
        </w:rPr>
        <w:t xml:space="preserve">  American Integrity Insurance Group, Inc.</w:t>
      </w:r>
    </w:p>
    <w:p>
      <w:pPr>
        <w:spacing w:after="120"/>
      </w:pPr>
      <w:r>
        <w:rPr>
          <w:rFonts w:ascii="Calibri" w:hAnsi="Calibri"/>
          <w:b/>
          <w:color w:val="6E8450"/>
          <w:sz w:val="18"/>
        </w:rPr>
        <w:t>GROWTH SLEEVE · 2026-10-10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American Integrity Insurance Group, Inc. operates as a property and casualty insurance company primarily in Florida, offering personal residential property insurance for single-family homeowners, condominium owners, manufactured homes, vacant dwellings, and investment properties. The company also provides commercial residential, dwelling property, specialty insurance, and flood insurance products distributed through independent agents and direct-to-consumer channels. In-force premium crossed $1 billion for the first time in Q2 2026, with total revenues surging 54.6% YoY to $115.2M and Q2 2026 net income of $34.1M ($1.74 per diluted share).</w:t>
      </w:r>
    </w:p>
    <w:p>
      <w:r>
        <w:rPr>
          <w:rFonts w:ascii="Calibri" w:hAnsi="Calibri"/>
          <w:b/>
          <w:color w:val="6E8450"/>
          <w:sz w:val="18"/>
        </w:rPr>
        <w:t>313 Employees · https://www.aii.com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American Integrity delivered record voluntary new business growth of 54% YoY in Q2 2026, with in-force premium crossing $1 billion for the first time and gross premiums written growing 14% to $327M [1]. The company expanded from a Florida homeowners-only insurer into commercial residential, manufactured home, and specialty lines, and completed its IPO as peers like FedNat, Weston, and UPC went insolvent. AI Deployment (0/2): The company employs a VP of Innovations &amp; Data leading business intelligence and data analytics, and uses AI-powered underwriting and claims processing systems, but no specific AI products or quantified AI savings have been disclosed [2]. Market Share (1/2): Crossing $1 billion in-force premium with record 54% voluntary new business growth establishes American Integrity as one of the fastest-growing Florida property insurers, though the Florida P&amp;C market remains highly fragmented [1]. Pipeline (1/2): Q2 2026 earnings beat consensus by nearly 2x ($1.74 vs $0.81 estimate), and the company's new business pipeline provides forward visibility, though no specific product launches have been announced [1]. R&amp;D Intensity (0/1): Insurance companies do not conduct traditional R&amp;D; technology investment is at levels typical for a mid-size insurer.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American Integrity's core values — integrity, commitment, teamwork, humility, passion and fun — are embedded in a servant leadership philosophy where leaders serve others rather than dictate [2]. The company name itself signals intentionality about ethical conduct. The purpose is genuine but does not articulate a transformative vision beyond being an excellent insurance company. Community Impact (1/2): Recognized as a USA Today Top Workplaces USA for four consecutive years, Tampa Bay Times Top Workplace for 10 years, and Best Places to Work in Insurance for 11 consecutive years [2]. VP of Claims Trevor McDonald was named PropertyCasualty360's 2026 Claims Leader of the Year. Employee Retention (2/2): Exceptional workplace recognition — 11 consecutive years as Best Places to Work in Insurance, 10 consecutive years as Tampa Bay Times Top Workplace, and inaugural America's Best Workplaces honoree validates sustained organizational health [2]. The servant leadership culture and weekly Friday leadership meetings where 'there is no room for ego' demonstrate institutional commitment. Insider Buying (1/2): Significant insider buying in 2026 — 10% beneficial owner James Sowell purchased 136,356 shares ($2.3M), Chairman David Clark bought 5,830 shares ($100K), and multiple directors purchased shares with no insider sales recorded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Integrity's financials are exceptionally strong across every measured dimension as a Growth stock. D/E of 9.06% reflects minimal leverage with $293M in cash against $33.5M in total debt [1]. ROE of 26.24% significantly exceeds the 15% target (score 1.0, 2x weight). Revenue growth of 54.6% YoY in Q2 2026 far exceeds the 10% target, driven by in-force premium crossing $1 billion [1]. Revenue CAGR of approximately 17% over the past two years (2023-2025: $200.9M to $276.5M) also exceeds targets (2x weight). Forward P/E of 8.26x is extraordinarily low for a rapidly growing insurer, well below the 20x target. Profit margin of 26.2% exceeds the 20% target. All available metrics score at or near ceiling, producing a perfect Infrastructure score. Liquidity floor cleared: 169,434 avg daily volume x $26.77 = $4.53M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American Integrity demonstrates genuine infinite-game qualities through its servant leadership philosophy, exceptional 10+ year workplace recognition streak, and consistent cultural values under founder-CEO Bob Ritchie's 20-year tenure. The December 2024 appointment of Jon Ritchie as President shows deliberate succession planning. However, concentration in Florida property insurance limits strategic flexibility, and the company's competitive language emphasizes execution over learning from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American Integrity's servant leadership philosophy and deeply embedded core values represent a genuine purpose beyond profit [2]. CEO Bob Ritchie has maintained these values consistently since founding the company in 2006, and 11 consecutive years of workplace awards validate that the culture is lived, not merely stated. The Friday leadership meetings where 'there is no room for ego' suggest purpose-driven organizational behavior. However, the cause — being an ethical, people-first insurer — is about how they operate rather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evidence of a high-trust organization. Eleven consecutive years as Best Places to Work in Insurance, 10 consecutive years as Tampa Bay Times Top Workplace, USA Today Top Workplaces for four straight years, and inaugural America's Best Workplaces recognition [2]. VP of Claims Trevor McDonald won PropertyCasualty360's 2026 Claims Leader of the Year, reflecting leadership development at all levels. The servant leadership model and weekly collaborative problem-solving meetings create strong psychological safety across this 313-employee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improvement. American Integrity competes in Florida's fragmented property insurance market against Citizens, Heritage, and HCI Group, but management commentary focuses on rate adequacy, loss ratios, and market opportunities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American Integrity expanded from its original homeowners-only focus into commercial residential, manufactured home, dwelling property, and specialty insurance products [1]. The December 2024 appointment of Jon Ritchie as President with Bob Ritchie remaining as CEO shows structured succession flexibility. However, the company remains concentrated exclusively in Florida, and the core business model — underwriting property risk in a single catastrophe-exposed state — has not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American Integrity demonstrated courage by continuing to write Florida homeowners insurance aggressively during 2022-2023 when multiple Florida carriers went insolvent, maintaining rate discipline and underwriting standards rather than retreating from the market [1]. The company grew premiums while competitors fled, achieving record 54% voluntary new business growth in Q2 2026. The IPO and leadership succession planning reflect long-term thinking, though these represent rational business decisions in a favorable market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Integrity is delivering exceptional execution in Florida's hardening property insurance market, with Q2 2026 revenue surging 54.6% YoY to $115.2M and net income of $34.1M ($1.74 EPS) crushing the $0.81 consensus estimate [1]. In-force premium crossed $1 billion for the first time, ROE stands at 26.24%, and the balance sheet carries minimal leverage with D/E of 9.06% and $293M in cash [1]. Forward P/E of 8.26x is extraordinarily low for a company growing revenue over 50%, offering significant valuation upside if execution continues. The servant leadership culture, validated by 11 consecutive years of workplace awards, creates a durable organizational advantage [2]. Significant insider buying — $2.5M+ in purchases by the 10% owner and multiple directors with no insider sales — signals leadership conviction at current levels [3].</w:t>
      </w:r>
    </w:p>
    <w:p>
      <w:pPr>
        <w:spacing w:after="120"/>
      </w:pPr>
      <w:r>
        <w:rPr>
          <w:rFonts w:ascii="Calibri" w:hAnsi="Calibri"/>
          <w:b w:val="0"/>
          <w:color w:val="3A4A28"/>
          <w:sz w:val="20"/>
        </w:rPr>
        <w:t>The bear case centers on catastrophe concentration and the immutability of Florida hurricane risk. American Integrity writes exclusively in Florida, meaning a single Category 4+ storm hitting Tampa Bay could generate losses exceeding the company's equity base [1]. Earnings lumpiness is inherent in property insurance — a single storm can erase multiple years of profit. Florida's politically volatile insurance regulatory environment could change litigation rules, building codes, or reinsurance requirements unpredictably. The company's rapid growth (54% new business growth) may be outrunning its ability to adequately price risk, and the Q1 2026 loss ratio deterioration from 30.9% to 37.3% could signal adverse development [1]. Geographic concentration means the company cannot diversify away from Florida hurricane risk, and climate change may increase storm frequency and severity over the long term. With a $525M market cap and only 313 employees, organizational depth remains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In-force premium crossed $1 billion for the first time with 54% voluntary new business growth and gross premiums written of $327M in Q2, providing substantial revenue momentum into H2 2026 and beyond [1]</w:t>
      </w:r>
    </w:p>
    <w:p>
      <w:pPr>
        <w:spacing w:before="40" w:after="40"/>
        <w:ind w:left="283"/>
      </w:pPr>
      <w:r>
        <w:rPr>
          <w:rFonts w:ascii="Calibri" w:hAnsi="Calibri"/>
          <w:b/>
          <w:color w:val="4A6B25"/>
          <w:sz w:val="20"/>
        </w:rPr>
        <w:t xml:space="preserve">2. </w:t>
      </w:r>
      <w:r>
        <w:rPr>
          <w:rFonts w:ascii="Calibri" w:hAnsi="Calibri"/>
          <w:b w:val="0"/>
          <w:color w:val="3A4A28"/>
          <w:sz w:val="20"/>
        </w:rPr>
        <w:t>Q2 2026 EPS of $1.74 nearly doubled the $0.81 consensus, with total revenues of $115.2M up 54.6% YoY, triggering analyst estimate revisions and potential multiple expansion from the deeply discounted 8.26x forward P/E [1]</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buying totaling $2.5M+ in 2026 by 10% beneficial owner Sowell ($2.3M) and multiple board members signals institutional conviction in the stock's undervaluation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Single-state concentration in Florida creates existential hurricane risk — a direct Category 4+ hit on Tampa Bay or Miami metro could generate losses exceeding company equity and threaten solvency [1]</w:t>
      </w:r>
    </w:p>
    <w:p>
      <w:pPr>
        <w:spacing w:before="40" w:after="40"/>
        <w:ind w:left="283"/>
      </w:pPr>
      <w:r>
        <w:rPr>
          <w:rFonts w:ascii="Calibri" w:hAnsi="Calibri"/>
          <w:b/>
          <w:color w:val="4A6B25"/>
          <w:sz w:val="20"/>
        </w:rPr>
        <w:t xml:space="preserve">2. </w:t>
      </w:r>
      <w:r>
        <w:rPr>
          <w:rFonts w:ascii="Calibri" w:hAnsi="Calibri"/>
          <w:b w:val="0"/>
          <w:color w:val="3A4A28"/>
          <w:sz w:val="20"/>
        </w:rPr>
        <w:t>Q1 2026 loss ratio deterioration from 30.9% to 37.3% may signal adverse claims development or inadequate reserves, with rapid 54% new business growth potentially outrunning risk pricing accuracy [1]</w:t>
      </w:r>
    </w:p>
    <w:p>
      <w:pPr>
        <w:spacing w:before="40" w:after="40"/>
        <w:ind w:left="283"/>
      </w:pPr>
      <w:r>
        <w:rPr>
          <w:rFonts w:ascii="Calibri" w:hAnsi="Calibri"/>
          <w:b/>
          <w:color w:val="4A6B25"/>
          <w:sz w:val="20"/>
        </w:rPr>
        <w:t xml:space="preserve">3. </w:t>
      </w:r>
      <w:r>
        <w:rPr>
          <w:rFonts w:ascii="Calibri" w:hAnsi="Calibri"/>
          <w:b w:val="0"/>
          <w:color w:val="3A4A28"/>
          <w:sz w:val="20"/>
        </w:rPr>
        <w:t>Florida's politically volatile insurance regulatory environment could alter litigation rules, rate-setting authority, or reinsurance requirements, disrupting the competitive dynamics currently favoring rate-adequate carriers like American Integrity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Property and casualty insurance in Florida is protected by significant regulatory barriers — state-level licensing, rate filing requirements, statutory capital requirements, and Department of Financial Services oversight create moats that AI-native entrants cannot easily breach [1]. Physical property inspection, hurricane claims adjustment, and local agent relationships add layers of defensibility. However, AI is transforming underwriting, claims processing, and fraud detection across the insurance industry, and AI-native insurtechs (Lemonade, Root, Hippo) demonstrate that technology can compress operating costs. American Integrity's core underwriting function faces partial automation risk, and competitors using AI for superior risk pricing could gain advantages. AI Opportunity (1/1): The company employs AI-powered underwriting and claims processing systems and a VP of Innovations &amp; Data leading business intelligence operations, representing nascent AI-driven value creation within the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Integrity Insurance Group Q2 2026 Earnings Release — Record pretax income, $115.2M revenue (+54.6% YoY), $34.1M net income ($1.74 EPS vs $0.81 consensus), in-force premium crossed $1B, gross premiums written $327M (+14%),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American Integrity Insurance Company Profile — Servant leadership culture, core values, workplace awards (11 consecutive Best Places to Work in Insurance, 10 Tampa Bay Top Workplace), VP Innovations &amp; Data, Jon Ritchie named President December 2024, Trevor McDonald 2026 Claims Leader of Year — aii.com, PropertyCasualty360, 2024-2026</w:t>
      </w:r>
    </w:p>
    <w:p>
      <w:pPr>
        <w:spacing w:before="20" w:after="20"/>
        <w:ind w:left="170"/>
      </w:pPr>
      <w:r>
        <w:rPr>
          <w:rFonts w:ascii="Calibri" w:hAnsi="Calibri"/>
          <w:b/>
          <w:color w:val="4A6B25"/>
          <w:sz w:val="15"/>
        </w:rPr>
        <w:t xml:space="preserve">3. </w:t>
      </w:r>
      <w:r>
        <w:rPr>
          <w:rFonts w:ascii="Calibri" w:hAnsi="Calibri"/>
          <w:b w:val="0"/>
          <w:color w:val="3A4A28"/>
          <w:sz w:val="17"/>
        </w:rPr>
        <w:t>SEC Form 4 Insider Transaction Filings — Sowell $2.3M purchase (136,356 shares), Clark $100K, Mathis $50K, Smathers $49K insider buying, May-June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