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ALAB</w:t>
      </w:r>
      <w:r>
        <w:rPr>
          <w:rFonts w:ascii="Calibri" w:hAnsi="Calibri"/>
          <w:b/>
          <w:color w:val="1A2010"/>
          <w:sz w:val="40"/>
        </w:rPr>
        <w:t xml:space="preserve">  Astera Labs, Inc.</w:t>
      </w:r>
    </w:p>
    <w:p>
      <w:pPr>
        <w:spacing w:after="120"/>
      </w:pPr>
      <w:r>
        <w:rPr>
          <w:rFonts w:ascii="Calibri" w:hAnsi="Calibri"/>
          <w:b/>
          <w:color w:val="6E8450"/>
          <w:sz w:val="18"/>
        </w:rPr>
        <w:t>GROWTH SLEEVE · 2026-08-25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Astera Labs designs and markets purpose-built semiconductor connectivity solutions that remove performance bottlenecks in AI and cloud infrastructure. Core products include Aries PCIe/CXL smart retimers, Leo CXL memory controllers, and the Scorpio fabric switch family for rack-scale AI connectivity. The company IPO'd in March 2024 and has grown rapidly on surging AI data center demand, reporting Q2 2026 revenue of $392.4M (+104% YoY) with TTM revenue of $1.2B. Market cap is approximately $48B.</w:t>
      </w:r>
    </w:p>
    <w:p>
      <w:r>
        <w:rPr>
          <w:rFonts w:ascii="Calibri" w:hAnsi="Calibri"/>
          <w:b/>
          <w:color w:val="6E8450"/>
          <w:sz w:val="18"/>
        </w:rPr>
        <w:t>756 Employees · https://www.asteralabs.com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its 2017 founding, Astera Labs has launched multiple successful product families — Aries PCIe/CXL smart retimers, Leo CXL memory controllers, and the Scorpio fabric switch platform — each opening new revenue streams in AI connectivity [1]. The company scaled from a pre-revenue startup to $1.2B TTM revenue in under three years as a public company. AI Deployment (2/2): Astera Labs IS AI infrastructure — every product is purpose-built for AI and ML data center connectivity. Q2 2026 revenue of $392.4M (+104% YoY) is driven entirely by AI workload demand, with Scorpio X fabric switches moving into volume production to serve next-generation GPU cluster connectivity [2]. Market Share (2/2): Astera Labs won the GSA Most Respected Private Semiconductor Company award and is the fastest-growing player in PCIe/CXL retimers and AI fabric switches [3]. Scorpio X is on track to become the largest revenue source in Q3 2026, one quarter ahead of expectations, indicating the company is defining and leading a new product category. Product Pipeline (2/2): Scorpio X high-radix AI fabric switch moved to volume production in Q2 2026, with specific guidance for it to become the company's largest revenue contributor in Q3 ($540-560M guided revenue, +40% sequential) [2]. R&amp;D Intensity (1/1): As a fabless semiconductor company with 756 employees, Astera Labs maintains heavy R&amp;D investment relative to revenue, consistent with top-quartile semiconductor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Astera Labs' stated purpose is to be 'a trusted partner for distributing data in intelligent systems' by developing purpose-built connectivity solutions. The mission is clear and technically specific but lacks a deeper purpose beyond product excellence — it reads as a business description rather than an inspiring vision of a better future [3]. Community Impact (0/2): No evidence of charitable giving, foundation activity, or community investment programs was identified in public filings or corporate communications. Employee Retention (1/2): Glassdoor rating of 4.5/5.0 with 93% of employees recommending the company and 95% positive business outlook indicates strong employee satisfaction, though the company is young enough that long-term retention data is unavailable [4]. Insider Buying (0/2): Significant net insider selling in 2026 — COO Sanjay Gajendra sold $30.8M in shares in August 2026, and Director Manuel Alba sold $16.8M in July 2026, both under Rule 10b5-1 plans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(5yr CAGR excluded — company IPO'd March 2024). Astera Labs demonstrates exceptional financial health with near-zero leverage (D/E 2.57%), ROE of 25.83% well above the 15% target, and profit margin of 30.74% exceeding the 20% threshold [6]. Revenue growth YoY of 104% dramatically exceeds the 10% target. The Forward PEG of 0.94 is below the 1.0 target, reflecting growth that justifies the premium multiple. The primary drag is the elevated Forward P/E of 49.46x, scoring 0.26 against the 20x target on linear interpolation to the 60x floor. Daily liquidity of ~$1.0B (3.7M shares x $277.53)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Astera Labs is a young, fast-growing company executing well in a booming market, but it has not yet been tested through adversity or demonstrated the long-term institutional characteristics that define infinite game players. The company was founded in 2017, IPO'd in 2024, and has experienced only tailwinds — there is no track record of navigating downturns, making courageous decisions under pressure, or demonstrating existential flexibility. The strong employee culture and co-founder leadership are positives, but the infinite game lens requires proof over time, not just during a supercycle.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Astera Labs exists to solve AI connectivity bottlenecks — a genuine technical problem, but the cause is product-focused rather than purpose-driven. 'Distributing data in intelligent systems' is a business description, not a vision of a future state that people sacrifice to advance. The company's rapid growth is demand-driven rather than cause-driven, and there is no evidence of leadership referencing a deeper purpose in strategic decisions beyond building better products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4.5/5.0 with 93% recommendation rate and reviews citing approachable leadership, transparent communication, and collaborative culture are positive indicators [4]. The co-founder leadership team (CEO Jitendra Mohan since 2017, COO Sanjay Gajendra) provides continuity. However, the company has only 756 employees and has not faced the organizational stress tests — layoffs, downturns, rapid scaling pain — that reveal whether trust is structural or circumstantial.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Astera Labs competes against Broadcom and other established semiconductor players, and the company's approach focuses on product innovation and customer partnership rather than competitive destruction. Management commentary emphasizes being a 'trusted partner' and winning through technical excellence rather than market share warfare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Astera Labs has not faced a situation requiring fundamental business model transformation. The company has executed well within its lane — expanding from retimers to fabric switches — but these are product line extensions, not existential pivots. The company is too young (founded 2017, IPO 2024) and has experienced only tailwinds to have been tested on this dimension.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co-founders invested years building semiconductor IP in a capital-intensive market before achieving commercial traction, and the decision to develop the Scorpio fabric switch platform alongside established retimer products represents a meaningful bet on a new category [1]. However, these decisions were made during a massive AI spending supercycle — true courage involves costly decisions during difficult times, which the company has not yet faced.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Astera Labs is the pure-play connectivity backbone of the AI infrastructure buildout, with Q2 2026 revenue of $392.4M (+104% YoY) and Q3 guidance of $540-560M (+40% sequential) demonstrating hypergrowth as hyperscalers scale GPU clusters [1][2]. The company's Scorpio X fabric switch is moving to volume production one quarter ahead of schedule and is expected to become the largest revenue source in Q3, validating the platform strategy beyond retimers. With a Forward PEG of 0.94, profit margin of 30.74%, near-zero debt (D/E 2.57%), and ROE of 25.83%, the financial profile is exceptional for a high-growth semiconductor company. The $48B market cap reflects strong conviction — 19 of 19 analysts rate the stock a Buy with an average target of $390 [6].</w:t>
      </w:r>
    </w:p>
    <w:p>
      <w:pPr>
        <w:spacing w:after="120"/>
      </w:pPr>
      <w:r>
        <w:rPr>
          <w:rFonts w:ascii="Calibri" w:hAnsi="Calibri"/>
          <w:b w:val="0"/>
          <w:color w:val="3A4A28"/>
          <w:sz w:val="20"/>
        </w:rPr>
        <w:t>The bear case centers on valuation sustainability and cyclical risk. At 49x forward earnings and 40x TTM revenue, ALAB is priced for perfection — any deceleration in AI capex spending by hyperscalers (Meta, Microsoft, Google, Amazon represent the bulk of demand) could trigger severe multiple compression [6]. The company has existed only during an AI spending supercycle and has never navigated a downturn; semiconductor connectivity demand is ultimately derivative of GPU shipments and data center buildout, which are cyclical. Revenue concentration risk is high given the small number of hyperscaler customers. Insider selling of $47.6M in July-August 2026 by the COO and a director, while executed under 10b5-1 plans, signals that insiders are monetizing at elevated valuations [5]. The company's 756-person workforce and limited operational history introduce execution risk as it scales from $1.2B to multi-billion-dollar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Scorpio X fabric switch moving to volume production in Q3 2026, becoming the largest revenue source one quarter ahead of schedule — validates platform expansion beyond retimers and opens a larger TAM in AI cluster connectivity [2]</w:t>
      </w:r>
    </w:p>
    <w:p>
      <w:pPr>
        <w:spacing w:before="40" w:after="40"/>
        <w:ind w:left="283"/>
      </w:pPr>
      <w:r>
        <w:rPr>
          <w:rFonts w:ascii="Calibri" w:hAnsi="Calibri"/>
          <w:b/>
          <w:color w:val="4A6B25"/>
          <w:sz w:val="20"/>
        </w:rPr>
        <w:t xml:space="preserve">2. </w:t>
      </w:r>
      <w:r>
        <w:rPr>
          <w:rFonts w:ascii="Calibri" w:hAnsi="Calibri"/>
          <w:b w:val="0"/>
          <w:color w:val="3A4A28"/>
          <w:sz w:val="20"/>
        </w:rPr>
        <w:t>Q3 2026 revenue guidance of $540-560M implies ~$2B+ annualized run rate with 40% sequential growth, demonstrating sustained hypergrowth as AI infrastructure spending accelerates [2]</w:t>
      </w:r>
    </w:p>
    <w:p>
      <w:pPr>
        <w:spacing w:before="40" w:after="40"/>
        <w:ind w:left="283"/>
      </w:pPr>
      <w:r>
        <w:rPr>
          <w:rFonts w:ascii="Calibri" w:hAnsi="Calibri"/>
          <w:b/>
          <w:color w:val="4A6B25"/>
          <w:sz w:val="20"/>
        </w:rPr>
        <w:t xml:space="preserve">3. </w:t>
      </w:r>
      <w:r>
        <w:rPr>
          <w:rFonts w:ascii="Calibri" w:hAnsi="Calibri"/>
          <w:b w:val="0"/>
          <w:color w:val="3A4A28"/>
          <w:sz w:val="20"/>
        </w:rPr>
        <w:t>Forward PEG of 0.94 suggests the stock may still be undervalued relative to its growth trajectory, with 19/19 analyst Buy ratings and average price target of $390 implying 40% upside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capex concentration — the majority of revenue comes from a small number of cloud/AI customers (Meta, Microsoft, Google, Amazon), and any pullback in AI infrastructure spending could dramatically impact revenue growth trajectory [2]</w:t>
      </w:r>
    </w:p>
    <w:p>
      <w:pPr>
        <w:spacing w:before="40" w:after="40"/>
        <w:ind w:left="283"/>
      </w:pPr>
      <w:r>
        <w:rPr>
          <w:rFonts w:ascii="Calibri" w:hAnsi="Calibri"/>
          <w:b/>
          <w:color w:val="4A6B25"/>
          <w:sz w:val="20"/>
        </w:rPr>
        <w:t xml:space="preserve">2. </w:t>
      </w:r>
      <w:r>
        <w:rPr>
          <w:rFonts w:ascii="Calibri" w:hAnsi="Calibri"/>
          <w:b w:val="0"/>
          <w:color w:val="3A4A28"/>
          <w:sz w:val="20"/>
        </w:rPr>
        <w:t>Valuation risk at 49x forward earnings requires sustained 60%+ revenue growth; any deceleration below consensus expectations could trigger multiple compression from premium to market-average levels [6]</w:t>
      </w:r>
    </w:p>
    <w:p>
      <w:pPr>
        <w:spacing w:before="40" w:after="40"/>
        <w:ind w:left="283"/>
      </w:pPr>
      <w:r>
        <w:rPr>
          <w:rFonts w:ascii="Calibri" w:hAnsi="Calibri"/>
          <w:b/>
          <w:color w:val="4A6B25"/>
          <w:sz w:val="20"/>
        </w:rPr>
        <w:t xml:space="preserve">3. </w:t>
      </w:r>
      <w:r>
        <w:rPr>
          <w:rFonts w:ascii="Calibri" w:hAnsi="Calibri"/>
          <w:b w:val="0"/>
          <w:color w:val="3A4A28"/>
          <w:sz w:val="20"/>
        </w:rPr>
        <w:t>No dividend, significant insider selling ($47.6M in July-August 2026), and a workforce of only 756 employees create execution risk as the company scales operations to match $2B+ revenue trajectory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Astera Labs is structurally immune to AI disruption because it IS AI infrastructure. The company's connectivity solutions — PCIe/CXL retimers, CXL memory controllers, and fabric switches — are essential physical-layer components that every AI data center requires to connect GPUs, memory, and networking at rack scale [1]. As AI model sizes and cluster sizes grow, demand for Astera Labs' products increases proportionally. No software-based AI solution can replace the physical semiconductor connectivity layer. Revenue has grown 104% YoY precisely because AI deployment is accelerating, not because of protection from AI, but because the company is a direct beneficiary of AI capex [2]. AI Opportunity (1/1): Virtually 100% of Astera Labs' $1.2B TTM revenue is AI-related, driven by hyperscaler and cloud provider demand for AI cluster connectivity. Scorpio X fabric switches and Aries retimers ship directly into AI training and inference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Astera Labs 2025 Milestones — Expansion, Innovation &amp; Ecosystem Leadership, asteralabs.com, 2025</w:t>
      </w:r>
    </w:p>
    <w:p>
      <w:pPr>
        <w:spacing w:before="20" w:after="20"/>
        <w:ind w:left="170"/>
      </w:pPr>
      <w:r>
        <w:rPr>
          <w:rFonts w:ascii="Calibri" w:hAnsi="Calibri"/>
          <w:b/>
          <w:color w:val="4A6B25"/>
          <w:sz w:val="15"/>
        </w:rPr>
        <w:t xml:space="preserve">2. </w:t>
      </w:r>
      <w:r>
        <w:rPr>
          <w:rFonts w:ascii="Calibri" w:hAnsi="Calibri"/>
          <w:b w:val="0"/>
          <w:color w:val="3A4A28"/>
          <w:sz w:val="17"/>
        </w:rPr>
        <w:t>Astera Labs Q2 2026 Earnings — Revenue $392.4M (+104% YoY), EPS $0.80, Q3 Guide $540-560M, Investing.com/Quartr, July 2026</w:t>
      </w:r>
    </w:p>
    <w:p>
      <w:pPr>
        <w:spacing w:before="20" w:after="20"/>
        <w:ind w:left="170"/>
      </w:pPr>
      <w:r>
        <w:rPr>
          <w:rFonts w:ascii="Calibri" w:hAnsi="Calibri"/>
          <w:b/>
          <w:color w:val="4A6B25"/>
          <w:sz w:val="15"/>
        </w:rPr>
        <w:t xml:space="preserve">3. </w:t>
      </w:r>
      <w:r>
        <w:rPr>
          <w:rFonts w:ascii="Calibri" w:hAnsi="Calibri"/>
          <w:b w:val="0"/>
          <w:color w:val="3A4A28"/>
          <w:sz w:val="17"/>
        </w:rPr>
        <w:t>Astera Labs Corporate Overview — Mission, Leadership Team, GSA Award, asteralabs.com/ir.asteralabs.com,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Astera Labs 4.5/5.0 Rating, 93% Recommend, glassdoor.com,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 Form 4 Filings — COO Sanjay Gajendra Sold $30.8M (Aug 2026), Director Manuel Alba Sold $16.8M (Jul 2026), MarketScreener/SEC,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ALAB Key Statistics: Forward P/E 49.46x, PEG 0.94, ROE 25.83%, Profit Margin 30.74%,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