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AMKR</w:t>
      </w:r>
      <w:r>
        <w:rPr>
          <w:rFonts w:ascii="Calibri" w:hAnsi="Calibri"/>
          <w:b/>
          <w:color w:val="1A2010"/>
          <w:sz w:val="40"/>
        </w:rPr>
        <w:t xml:space="preserve">  Amkor Technology, Inc.</w:t>
      </w:r>
    </w:p>
    <w:p>
      <w:pPr>
        <w:spacing w:after="120"/>
      </w:pPr>
      <w:r>
        <w:rPr>
          <w:rFonts w:ascii="Calibri" w:hAnsi="Calibri"/>
          <w:b/>
          <w:color w:val="6E8450"/>
          <w:sz w:val="18"/>
        </w:rPr>
        <w:t>GROWTH SLEEVE · 2026-08-27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Amkor Technology is one of the world's largest outsourced semiconductor assembly and test (OSAT) providers, operating advanced packaging and test facilities across South Korea, Vietnam, Japan, the Philippines, Portugal, and China. The company specializes in advanced packaging technologies including high-density fan-out (HDFO), 2.5D, system-in-package (SiP), and flip-chip, serving semiconductor companies across computing, communications, automotive, and industrial end markets. Strategic partnerships with TSMC (10-year advanced packaging agreement) and NVIDIA (multi-year AI infrastructure collaboration) position Amkor at the center of AI chip packaging. Q2 2026 revenue reached a record $1.9B (+26% YoY) with 30,800 employees.</w:t>
      </w:r>
    </w:p>
    <w:p>
      <w:r>
        <w:rPr>
          <w:rFonts w:ascii="Calibri" w:hAnsi="Calibri"/>
          <w:b/>
          <w:color w:val="6E8450"/>
          <w:sz w:val="18"/>
        </w:rPr>
        <w:t>30,800 Employees · https://www.amkor.com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Amkor has executed a significant evolution from traditional wire-bond packaging to cutting-edge advanced packaging technologies (2.5D, HDFO, SiP) that are essential for AI accelerator chips. This transformation has opened a major new growth channel — computing/AI segment reached record revenue in Q2 2026, and the company secured strategic multi-year partnerships with TSMC and NVIDIA that would have been unattainable with legacy packaging capabilities [1][2]. AI Deployment (1/2): While Amkor does not sell AI products directly, its advanced packaging is essential infrastructure for AI chips — the company packages NVIDIA GPUs, AMD accelerators, and Qualcomm processors. Revenue growth is directly tied to AI chip demand, with the computing segment achieving record results driven by AI workload growth [1]. Market Share (2/2): Amkor is one of the top two OSAT providers globally alongside ASE Group, with the TSMC partnership and NVIDIA collaboration reinforcing technology leadership in the highest-value advanced packaging segments [2]. The company's scale (30,800 employees, facilities across six countries) creates meaningful competitive barriers. Product Pipeline (2/2): Specific technology roadmap with HDFO, 2.5D, and SiP platforms advancing on defined timelines. The 10-year TSMC agreement and multi-year NVIDIA collaboration provide exceptional revenue visibility. Capex guidance of $2.5-$3.0B in 2026 funds facility expansion for next-generation packaging technologies [2]. R&amp;D Intensity (1/1): Capex of $2.5-$3.0B against $7.5B TTM revenue represents 33-40% capital intensity — extraordinary investment in advanced packaging equipment and technology development, well above semiconductor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Amkor's mission centers on being the world's technology packaging company and providing semiconductor packaging solutions. This is a functional business description rather than a purpose that inspires beyond the obvious — it does not articulate why Amkor exists beyond serving customers and generating revenue. The mission is interchangeable with any OSAT competitor (ASE, JCET). Community Impact (1/2): Amkor has demonstrated meaningful ESG commitment with SBTi-approved science-based net-zero targets (55% GHG reduction by 2033, net-zero by 2050), adherence to the Responsible Business Alliance Code of Conduct, and published corporate responsibility reports with human rights policies [3]. These commitments are specific and measurable, though not distinctive among global semiconductor manufacturers. Employee Retention (0/2): Glassdoor rating of 3.3/5 is below average, with work-life balance rated 2.7/5 and reports of 'toxic leadership culture' at some locations [3]. The low work-life balance rating for a manufacturing-intensive company with 30,800 employees suggests organizational trust challenges. Insider Buying (0/2): The Kim family (executive chairman Joo-Jin James Kim) maintains significant family ownership, but no evidence of discretionary net insider buying was identified beyond existing family stakes.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Amkor's strongest attributes are the Forward PEG of 0.68 (well below the 1.0 target, scoring 1.0 with 2x weight), Forward P/E of 17.76 (below the 20 target, scoring 1.0), and conservative D/E of 57% (below the 70% target, scoring 1.0) [4]. Revenue growth of approximately 15% TTM exceeds the 10% target, driven by the Q2 2026 record (+26% YoY) and Q1 2026 record [1]. ROE of 12.51% scores 0.83 against the 15% target with 2x weight for Growth stocks. The primary drags are the modest 5-year revenue CAGR of 2.3% (scoring 0.49 with 2x weight) reflecting the 2022-2024 semiconductor downturn that depressed results before the current AI-driven recovery, and thin profit margin of 7.45% (scoring 0.37 against the 20% target) characteristic of the capital-intensive OSAT business model [4]. Daily dollar volume exceeds $218M, well above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Amkor operates as a competent but finite-minded semiconductor packaging company. The business is fundamentally a contract manufacturing operation optimized for operational efficiency and capacity utilization rather than a purpose-driven organization playing an infinite game. The Kim family's controlling ownership structure prioritizes long-term family wealth preservation, which provides strategic patience but not the visionary purpose that Sinek describes. The recent CEO transition to Kevin Engel in January 2026 has not yet been tested through adversity, and employee satisfaction metrics suggest cultural challenges.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Amkor's stated purpose centers on being the world's technology packaging company and enabling the semiconductor ecosystem. This is a functional business description that exists but is shallow — it does not articulate a vision of a better future or inspire beyond the operational reality [2]. The company's strategic decisions are driven by customer demand, capacity utilization, and technology roadmap alignment rather than a deeper purpose. The Kim family's founding vision was entrepreneurial (building a semiconductor packaging business) rather than cause-driven.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suggests a below-average trust environment. Glassdoor rating of 3.3/5 with work-life balance at 2.7/5 and reports of 'toxic leadership culture' at some facilities indicate organizational challenges [3]. With 30,800 employees primarily in manufacturing operations across Asia, the organizational structure is hierarchical and efficiency-focused rather than designed for the psychological safety that Sinek's framework requires. The CEO transition from James Kim to Kevin Engel in January 2026 adds leadership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Amkor frames its competitive relationship with ASE Group (the primary OSAT rival) in terms of learning and self-improvement. Competitive commentary focuses on capacity, technology node leadership, and customer wins — finite competitive metrics. The TSMC and NVIDIA partnerships are framed as competitive advantages over rivals rather than as mutual improvement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Amkor has meaningfully evolved from traditional packaging (wire-bond, leadframe) to advanced packaging technologies (2.5D, HDFO, SiP) that serve higher-value AI and high-performance computing segments [1][2]. The $2.5-$3.0B annual capex investment in advanced facilities represents a significant strategic shift in capability. The planned migration of SiP production from South Korea to Vietnam demonstrates operational flexibility. However, these are incremental technology evolutions within the same semiconductor packaging business rather than a transformative reinvention of the company's fundamental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Amkor's $2.5-$3.0B annual capex commitment in 2026 represents a significant long-term investment — approximately 33-40% of TTM revenue — in advanced packaging capacity that will not generate returns for years [2]. This investment compresses current free cash flow to negative $172M while building future capability. The 10-year TSMC partnership requires sustained capital commitment through multiple semiconductor cycles. These investments demonstrate willingness to sacrifice near-term financial performance for long-term positioning, though the decisions are driven by customer demand and competitive necessity rather than visionary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Amkor at 17.76x forward earnings with a 0.68 PEG ratio offers compelling value exposure to the AI infrastructure buildout. Record Q2 2026 revenue of $1.9B (+26% YoY) with broad-based growth across computing (+record), automotive (+record), and communications (+32%) demonstrates the advanced packaging thesis is executing [1]. The 10-year TSMC partnership and multi-year NVIDIA collaboration provide exceptional multi-year revenue visibility rarely available for semiconductor services companies [2]. D/E of 57% provides balance sheet conservatism, and the $2.5-$3.0B capex investment in advanced packaging positions Amkor for sustained growth as AI chip complexity increases the value and necessity of advanced packaging. The stock has doubled over the past 52 weeks (+100%) but remains attractively valued on forward metrics. The Inspire Impact Score of 64 (ALIGNED) with zero negative attributions makes Amkor suitable for faith-based portfolios.</w:t>
      </w:r>
    </w:p>
    <w:p>
      <w:pPr>
        <w:spacing w:after="120"/>
      </w:pPr>
      <w:r>
        <w:rPr>
          <w:rFonts w:ascii="Calibri" w:hAnsi="Calibri"/>
          <w:b w:val="0"/>
          <w:color w:val="3A4A28"/>
          <w:sz w:val="20"/>
        </w:rPr>
        <w:t>The bear case centers on margin structure, customer concentration, and execution risk. Profit margin of 7.45% is thin for a company with 30,800 employees and massive capital requirements — OSAT companies structurally operate at low margins due to customer bargaining power (Apple 29.8% of revenue, Qualcomm 11.1%) and capital intensity [1][4]. Free cash flow is negative $172M despite record revenue, as $2.5-$3.0B capex absorbs cash flow. Customer concentration risk is significant: top 10 customers represent 72% of sales, making Amkor vulnerable to demand shifts from any single large customer. The planned migration of SiP production from South Korea to Vietnam is expected to disrupt results through Q4 2026 and into H1 2027, creating near-term earnings risk [1]. The 5-year revenue CAGR of only 2.3% reflects the semiconductor cyclicality that makes Amkor's revenue stream inherently volatile — the current AI-driven boom could moderate, as prior cycles (2022-2024 downturn) demonstrated. Beta of 2.25 means the stock amplifies market moves in both directions.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Advanced packaging revenue acceleration as AI chip complexity drives increasing demand for 2.5D, HDFO, and SiP technologies — each generation of AI GPUs requires more sophisticated and expensive packaging, expanding Amkor's revenue per chip [1][2]</w:t>
      </w:r>
    </w:p>
    <w:p>
      <w:pPr>
        <w:spacing w:before="40" w:after="40"/>
        <w:ind w:left="283"/>
      </w:pPr>
      <w:r>
        <w:rPr>
          <w:rFonts w:ascii="Calibri" w:hAnsi="Calibri"/>
          <w:b/>
          <w:color w:val="4A6B25"/>
          <w:sz w:val="20"/>
        </w:rPr>
        <w:t xml:space="preserve">2. </w:t>
      </w:r>
      <w:r>
        <w:rPr>
          <w:rFonts w:ascii="Calibri" w:hAnsi="Calibri"/>
          <w:b w:val="0"/>
          <w:color w:val="3A4A28"/>
          <w:sz w:val="20"/>
        </w:rPr>
        <w:t>TSMC 10-year partnership and NVIDIA multi-year collaboration ramping to full capacity, providing contractual revenue visibility and technology co-development advantages that deepen Amkor's position in the highest-value packaging segments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potential as advanced packaging mix increases (higher-value packaging commands better gross margins than legacy wire-bond), with Q2 2026 gross margin of 16.8% having room to improve toward 20%+ as Vietnam facility reaches full utilization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with Apple (29.8%) and Qualcomm (11.1%) creating revenue fragility — any shift in Apple's packaging strategy (e.g., insourcing, supplier diversification) could materially impact results [1]</w:t>
      </w:r>
    </w:p>
    <w:p>
      <w:pPr>
        <w:spacing w:before="40" w:after="40"/>
        <w:ind w:left="283"/>
      </w:pPr>
      <w:r>
        <w:rPr>
          <w:rFonts w:ascii="Calibri" w:hAnsi="Calibri"/>
          <w:b/>
          <w:color w:val="4A6B25"/>
          <w:sz w:val="20"/>
        </w:rPr>
        <w:t xml:space="preserve">2. </w:t>
      </w:r>
      <w:r>
        <w:rPr>
          <w:rFonts w:ascii="Calibri" w:hAnsi="Calibri"/>
          <w:b w:val="0"/>
          <w:color w:val="3A4A28"/>
          <w:sz w:val="20"/>
        </w:rPr>
        <w:t>Vietnam SiP production migration from South Korea expected to disrupt operations through Q4 2026 and into H1 2027, creating near-term earnings headwinds and execution uncertainty during a critical growth period [1]</w:t>
      </w:r>
    </w:p>
    <w:p>
      <w:pPr>
        <w:spacing w:before="40" w:after="40"/>
        <w:ind w:left="283"/>
      </w:pPr>
      <w:r>
        <w:rPr>
          <w:rFonts w:ascii="Calibri" w:hAnsi="Calibri"/>
          <w:b/>
          <w:color w:val="4A6B25"/>
          <w:sz w:val="20"/>
        </w:rPr>
        <w:t xml:space="preserve">3. </w:t>
      </w:r>
      <w:r>
        <w:rPr>
          <w:rFonts w:ascii="Calibri" w:hAnsi="Calibri"/>
          <w:b w:val="0"/>
          <w:color w:val="3A4A28"/>
          <w:sz w:val="20"/>
        </w:rPr>
        <w:t>Structural thin margins (profit margin 7.45%, negative FCF of -$172M) despite record revenue raises questions about whether Amkor can translate AI-driven volume growth into shareholder value or will remain a capital-hungry, low-margin contract manufacturer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Amkor's core business — physical semiconductor packaging and testing — is essential infrastructure that AI structurally cannot displace. Every AI chip, whether from NVIDIA, AMD, or custom silicon, requires physical assembly, packaging, and testing that only specialized manufacturers can provide [1][2]. Advanced packaging technologies (2.5D, HDFO, SiP) are becoming more critical as AI chip complexity increases, creating a structural tailwind: more complex AI architectures require more sophisticated and expensive packaging. The 10-year TSMC partnership and NVIDIA collaboration directly link Amkor to the AI supply chain's most valuable nodes. AI increases demand for Amkor's services — every additional AI GPU produced requires Amkor's packaging. Analysts view Amkor as a key AI infrastructure beneficiary, not a disruption target. AI Opportunity (1/1): Amkor generates substantial AI-linked revenue through advanced packaging of AI accelerator chips. The computing segment (which includes AI chip packaging) reached record revenue in Q2 2026, and the NVIDIA multi-year collaboration generates specific, quantifiable AI infrastructure revenue [1][2]. The Q2 2026 revenue increase of 26% YoY was led by AI-driven computing and communications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Amkor Technology Q2 2026 Earnings Release — Record Revenue $1.9B (+26% YoY), Gross Margin 16.8%, EPS $0.70, Record Computing and Automotive Segments, Vietnam SiP Migration Disruption Through H1 2027, July 2026</w:t>
      </w:r>
    </w:p>
    <w:p>
      <w:pPr>
        <w:spacing w:before="20" w:after="20"/>
        <w:ind w:left="170"/>
      </w:pPr>
      <w:r>
        <w:rPr>
          <w:rFonts w:ascii="Calibri" w:hAnsi="Calibri"/>
          <w:b/>
          <w:color w:val="4A6B25"/>
          <w:sz w:val="15"/>
        </w:rPr>
        <w:t xml:space="preserve">2. </w:t>
      </w:r>
      <w:r>
        <w:rPr>
          <w:rFonts w:ascii="Calibri" w:hAnsi="Calibri"/>
          <w:b w:val="0"/>
          <w:color w:val="3A4A28"/>
          <w:sz w:val="17"/>
        </w:rPr>
        <w:t>Amkor Technology Strategic Partnerships — 10-Year TSMC Advanced Packaging Agreement, Multi-Year NVIDIA AI Infrastructure Collaboration, Capex Guidance $2.5-$3.0B for 2026, 2025-2026</w:t>
      </w:r>
    </w:p>
    <w:p>
      <w:pPr>
        <w:spacing w:before="20" w:after="20"/>
        <w:ind w:left="170"/>
      </w:pPr>
      <w:r>
        <w:rPr>
          <w:rFonts w:ascii="Calibri" w:hAnsi="Calibri"/>
          <w:b/>
          <w:color w:val="4A6B25"/>
          <w:sz w:val="15"/>
        </w:rPr>
        <w:t xml:space="preserve">3. </w:t>
      </w:r>
      <w:r>
        <w:rPr>
          <w:rFonts w:ascii="Calibri" w:hAnsi="Calibri"/>
          <w:b w:val="0"/>
          <w:color w:val="3A4A28"/>
          <w:sz w:val="17"/>
        </w:rPr>
        <w:t>Amkor Technology Corporate Responsibility and Culture — SBTi Net-Zero Targets Approved (55% GHG Reduction by 2033), RBA Code of Conduct, Glassdoor 3.3/5, Work-Life Balance 2.7/5,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AMKR Key Statistics: Forward PE 17.76, PEG 0.68, D/E 0.57, ROE 12.51%, Profit Margin 7.45%, FCF -$172M, Stock Price $48.40, 52-Week Change +100%,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