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APO</w:t>
      </w:r>
      <w:r>
        <w:rPr>
          <w:rFonts w:ascii="Calibri" w:hAnsi="Calibri"/>
          <w:b/>
          <w:color w:val="1A2010"/>
          <w:sz w:val="40"/>
        </w:rPr>
        <w:t xml:space="preserve">  Apollo Global Management, Inc.</w:t>
      </w:r>
    </w:p>
    <w:p>
      <w:pPr>
        <w:spacing w:after="120"/>
      </w:pPr>
      <w:r>
        <w:rPr>
          <w:rFonts w:ascii="Calibri" w:hAnsi="Calibri"/>
          <w:b/>
          <w:color w:val="6E8450"/>
          <w:sz w:val="18"/>
        </w:rPr>
        <w:t>GROWTH SLEEVE · 2026-08-25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Apollo Global Management is one of the world's largest alternative asset managers with $1.05 trillion in assets under management across private equity, credit, and real assets strategies. The company operates through two integrated segments: Asset Management (fee-related and performance-driven earnings) and Retirement Services (through Athene, providing annuity products and insurance-linked investment). Led by CEO Marc Rowan, Apollo reported Q2 2026 revenue of $11.15B (+64% YoY) with record fee-related earnings of $785M and total AUM crossing $1 trillion. Apollo originated $74B in Q2 and $150B in H1 2026, with $50B in signed/announced deals pending deployment.</w:t>
      </w:r>
    </w:p>
    <w:p>
      <w:r>
        <w:rPr>
          <w:rFonts w:ascii="Calibri" w:hAnsi="Calibri"/>
          <w:b/>
          <w:color w:val="6E8450"/>
          <w:sz w:val="18"/>
        </w:rPr>
        <w:t>2,540 Employees · https://www.apollo.com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Apollo has executed one of the most transformative strategic pivots in alternative asset management — the 2022 merger with Athene Holdings created an integrated asset management and retirement services platform that fundamentally changed the company's business model and earnings profile [1]. The expansion from traditional PE into private credit (now the largest platform) redefined Apollo's competitive positioning. These are significant strategic transformations that opened major new revenue streams. AI Deployment (1/2): Apollo is actively deploying AI in investment analysis and portfolio management, hosting CEO-level AI conferences where 'decisions around data infrastructure are now CEO-level decisions' [2]. However, no specific quantified AI-driven revenue or cost savings have been publicly reported. Market Share (2/2): Apollo is one of the three largest alternative asset managers globally with $1.05T AUM, alongside Blackstone and KKR. The company is the dominant player in private credit with $74B in Q2 origination volume, and Athene is a top-tier fixed annuity provider [1]. Product Pipeline (1/2): $50B in signed/announced deals expected to close in upcoming quarters, with origination momentum of $320B LTM providing forward revenue visibility [1]. However, these are deal flows, not named products with launch dates. R&amp;D Intensity (0/1): Financial services firms do not have traditional R&amp;D. Apollo's innovation comes through deal structuring and platform development, not research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Apollo's articulated philosophy — 'Purchase Price Matters' — is a financial discipline principle, not a mission that connects the company's work to a larger purpose beyond generating returns. CEO Marc Rowan's statement that Apollo is 'not a current period profit maximizer' suggests long-term thinking but not purpose-driven leadership [2]. The retirement services business through Athene serves millions of retirees, but this purpose is not articulated as the company's driving mission. Community Impact (1/2): Apollo has maintained a 14-year ESG program with sustainability and corporate responsibility committee oversight at the board level. Investments aligned with UN Sustainable Development Goals in healthcare, education, and energy transition. However, as a PE firm, Apollo's primary community impact is through portfolio company operations rather than direct philanthropic programs [3]. Employee Retention (0/2): 2,540 employees, no specific retention or tenure data publicly available. Recent board changes and complex governance history (Leon Black departure) create uncertainty. Insider Buying (0/2): Net insider selling of $135M in the last 12 months. John Zito sold ~49,000 shares ($6.4M) at $131 per share in May 2026, representing 35% of his direct holdings. While CEO Marc Rowan holds 34.2M shares, the net selling direction is clear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(5yr CAGR excluded). Apollo demonstrates strong revenue growth of 64% YoY in Q2 2026 driven by Athene insurance premium growth and record origination volumes, with Forward P/E of 13.55x well below the 20x target — among the cheapest large-cap financials [5]. The Forward PEG of 0.99 is essentially at the 1.0 target, reflecting growth that fully justifies the valuation. D/E of 101% scores 0.87, reflecting moderate leverage appropriate for a financial services firm. ROE of 11.41% is below the 15% target (scoring 0.76 with 2x weight), partly reflecting the complexity of GAAP accounting for the combined asset management and insurance business. The primary drag is profit margin of 5.27% — driven by Athene's insurance operations where gross premiums inflate the revenue denominator while net income is $1.89B. Liquidity of $509.9M daily (3.84M shares x $132.79) is substantial.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Apollo under Marc Rowan has demonstrated strategic vision in transforming the firm from a PE shop into a $1T diversified alternatives platform, and the Athene integration was a genuinely courageous bet. However, the firm's Just Cause remains financial — generating superior risk-adjusted returns — which is fundamentally a finite game objective. The Leon Black era governance controversies, significant insider selling, and financial engineering orientation (including the Athene merger itself being partly motivated by permanent capital access) place Apollo in the MIXED category. The firm plays to keep growing, which is different from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Apollo's purpose — generating superior risk-adjusted returns through disciplined investing — is a financial objective, not a Just Cause in Sinek's framework. 'Purchase Price Matters' is an investment philosophy, not a vision of a future state people sacrifice to advance [2]. The retirement services business through Athene implicitly serves a purpose (securing retirements for millions), but Apollo does not articulate this as its driving mission. The firm exists to allocate capital profitably, which is legitimate but finite.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Apollo has maintained leadership continuity under Marc Rowan since 2021, and the firm's 2,540 employees operate in a high-performance culture characteristic of alternative asset management. However, the Leon Black departure amid the Epstein controversy (2021) was a governance crisis that tested organizational trust, and the transition — while ultimately successful — revealed vulnerabilities in the firm's leadership structure [2]. No specific employee satisfaction or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Apollo consistently frames its competitive position against Blackstone and KKR through differentiation rather than destruction. Marc Rowan emphasizes Apollo's focus on 'complexity' and 'value orientation' as differentiators, acknowledging competitors' strengths in different areas (Blackstone in real estate, KKR in industrials) rather than attacking them [2]. The firm's strategy is to improve its own capabilities, not to beat competitors'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Athene merger (2022) was a significant strategic transformation — combining an alternative asset manager with a retirement services company created an entirely new business model with permanent capital, predictable earnings, and insurance-linked investment capabilities [1]. This was a meaningful evolution beyond incremental change. However, the merger was also financially motivated (access to Athene's $250B+ balance sheet for deployment) rather than driven by a Just Cause, and the core asset management business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Marc Rowan took over as CEO during Apollo's most challenging period — the Leon Black/Epstein controversy (2021) — and successfully stabilized the firm, rebuilt institutional trust, and executed the Athene merger. The strategic shift from PE-centric to credit-centric ($320B LTM origination) was a bold bet on private credit's growth ahead of most competitors [1]. However, these decisions were made from a position of strength with massive AUM tailwinds, and the firm continues to reward insiders through significant share sales ($135M net selling in 12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Apollo at 13.55x forward earnings offers one of the most compelling valuations in large-cap financials for a company growing AUM 30%+ annually and generating record fee-related earnings. Q2 2026 revenue of $11.15B (+64% YoY) with FRE of $785M (+25% YoY) and adjusted net income of $1.3B demonstrates the earnings power of the integrated asset management and retirement services platform [1]. Total AUM of $1.05T with $150B in H1 origination and $50B in signed/announced deals provides multi-quarter revenue visibility. The Forward PEG of 0.99 suggests the stock is fairly valued relative to growth, and the dividend yield of 1.69% ($2.25/share) provides income. Marc Rowan's disciplined 'Purchase Price Matters' philosophy has driven superior risk-adjusted returns, and the private credit megatrend — banks retreating from lending while alternatives fill the gap — provides a secular tailwind for Apollo's largest business line [2].</w:t>
      </w:r>
    </w:p>
    <w:p>
      <w:pPr>
        <w:spacing w:after="120"/>
      </w:pPr>
      <w:r>
        <w:rPr>
          <w:rFonts w:ascii="Calibri" w:hAnsi="Calibri"/>
          <w:b w:val="0"/>
          <w:color w:val="3A4A28"/>
          <w:sz w:val="20"/>
        </w:rPr>
        <w:t>The bear case centers on fee compression risk, governance history, and cyclical exposure. The 5.27% GAAP profit margin reflects the complexity of Athene's insurance accounting, but even on an adjusted basis, the business is vulnerable to credit cycle deterioration — a hard landing or recession would impair Apollo's private credit portfolio and reduce origination volumes [5]. The trailing P/E of 47x (vs 13.5x forward) highlights the gap between GAAP and adjusted earnings, creating confusion about true profitability. Insider selling of $135M net in the past 12 months, including a senior executive disposing of 35% of his direct holdings, undermines the alignment narrative [4]. The Leon Black/Epstein governance controversy (2021) remains a reputational overhang for institutional investors with strict governance screens. Revenue growth of 64% is largely driven by Athene premium volume, which includes insurance liabilities — not all revenue is created equal, and the insurance business carries long-duration tail risk. The Inspire Impact Score of -67 (MISALIGNED) limits allocation for faith-based investors. The -38.7% three-year revenue growth forecast (from StockAnalysis) suggests the current revenue surge may not be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AUM trajectory toward $1.5T by 2028 as private credit origination ($320B LTM) fills the gap left by bank lending retreat, with each $100B in AUM adding approximately $150M in annual FRE [1]</w:t>
      </w:r>
    </w:p>
    <w:p>
      <w:pPr>
        <w:spacing w:before="40" w:after="40"/>
        <w:ind w:left="283"/>
      </w:pPr>
      <w:r>
        <w:rPr>
          <w:rFonts w:ascii="Calibri" w:hAnsi="Calibri"/>
          <w:b/>
          <w:color w:val="4A6B25"/>
          <w:sz w:val="20"/>
        </w:rPr>
        <w:t xml:space="preserve">2. </w:t>
      </w:r>
      <w:r>
        <w:rPr>
          <w:rFonts w:ascii="Calibri" w:hAnsi="Calibri"/>
          <w:b w:val="0"/>
          <w:color w:val="3A4A28"/>
          <w:sz w:val="20"/>
        </w:rPr>
        <w:t>Forward P/E of 13.55x with PEG of 0.99 represents potential re-rating upside if the market recognizes Apollo's growth profile as more tech-like than financial-like — peers trade at 15-20x forward [5]</w:t>
      </w:r>
    </w:p>
    <w:p>
      <w:pPr>
        <w:spacing w:before="40" w:after="40"/>
        <w:ind w:left="283"/>
      </w:pPr>
      <w:r>
        <w:rPr>
          <w:rFonts w:ascii="Calibri" w:hAnsi="Calibri"/>
          <w:b/>
          <w:color w:val="4A6B25"/>
          <w:sz w:val="20"/>
        </w:rPr>
        <w:t xml:space="preserve">3. </w:t>
      </w:r>
      <w:r>
        <w:rPr>
          <w:rFonts w:ascii="Calibri" w:hAnsi="Calibri"/>
          <w:b w:val="0"/>
          <w:color w:val="3A4A28"/>
          <w:sz w:val="20"/>
        </w:rPr>
        <w:t>Signed and announced deal pipeline of $50B expected to close in upcoming quarters, providing visibility into H2 2026 deployment and fee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a recession or hard landing would impair Apollo's $1T+ portfolio of private credit, real estate, and PE investments, reducing origination volumes and potentially triggering credit losses in the Athene insurance portfolio [1]</w:t>
      </w:r>
    </w:p>
    <w:p>
      <w:pPr>
        <w:spacing w:before="40" w:after="40"/>
        <w:ind w:left="283"/>
      </w:pPr>
      <w:r>
        <w:rPr>
          <w:rFonts w:ascii="Calibri" w:hAnsi="Calibri"/>
          <w:b/>
          <w:color w:val="4A6B25"/>
          <w:sz w:val="20"/>
        </w:rPr>
        <w:t xml:space="preserve">2. </w:t>
      </w:r>
      <w:r>
        <w:rPr>
          <w:rFonts w:ascii="Calibri" w:hAnsi="Calibri"/>
          <w:b w:val="0"/>
          <w:color w:val="3A4A28"/>
          <w:sz w:val="20"/>
        </w:rPr>
        <w:t>Fee compression as alternative asset management becomes more commoditized — the growth of private credit ETFs, direct lending platforms, and AI-enhanced investment tools could erode the fee premium that supports Apollo's FRE margins [2]</w:t>
      </w:r>
    </w:p>
    <w:p>
      <w:pPr>
        <w:spacing w:before="40" w:after="40"/>
        <w:ind w:left="283"/>
      </w:pPr>
      <w:r>
        <w:rPr>
          <w:rFonts w:ascii="Calibri" w:hAnsi="Calibri"/>
          <w:b/>
          <w:color w:val="4A6B25"/>
          <w:sz w:val="20"/>
        </w:rPr>
        <w:t xml:space="preserve">3. </w:t>
      </w:r>
      <w:r>
        <w:rPr>
          <w:rFonts w:ascii="Calibri" w:hAnsi="Calibri"/>
          <w:b w:val="0"/>
          <w:color w:val="3A4A28"/>
          <w:sz w:val="20"/>
        </w:rPr>
        <w:t>Governance and alignment concerns — $135M net insider selling in 12 months, the Leon Black/Epstein reputational overhang, and GAAP vs adjusted earnings complexity create trust gaps with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Apollo's core business involves complex, relationship-driven deal-making, regulatory compliance, and physical asset management that AI cannot easily replicate. Private equity and credit origination require human judgment in evaluating management teams, negotiating deal terms, and managing portfolio companies through operational transformations [2]. Athene's insurance operations involve long-duration actuarial liabilities and regulatory oversight that create structural barriers to AI displacement. However, some business lines face AI pressure — basic investment analysis, portfolio monitoring, reporting, and even aspects of credit underwriting could be partially automated by AI tools. Competitors like Blackstone are investing heavily in AI-enhanced investment processes. The broader financial services sector is among the most AI-exposed industries, and the $1T+ AUM industry could see fee compression if AI democratizes alternative investment access. AI Opportunity (0/1): Apollo is investing in AI through portfolio companies and using AI tools internally for investment analysis, but it does not generate separable AI revenue. AI is a productivity tool, not a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Apollo Q2 2026 Earnings — Revenue $11.15B (+64% YoY), FRE $785M (+25%), Adjusted Net Income $1.3B, AUM $1.05T, Origination $74B, ir.apollo.com, August 2026</w:t>
      </w:r>
    </w:p>
    <w:p>
      <w:pPr>
        <w:spacing w:before="20" w:after="20"/>
        <w:ind w:left="170"/>
      </w:pPr>
      <w:r>
        <w:rPr>
          <w:rFonts w:ascii="Calibri" w:hAnsi="Calibri"/>
          <w:b/>
          <w:color w:val="4A6B25"/>
          <w:sz w:val="15"/>
        </w:rPr>
        <w:t xml:space="preserve">2. </w:t>
      </w:r>
      <w:r>
        <w:rPr>
          <w:rFonts w:ascii="Calibri" w:hAnsi="Calibri"/>
          <w:b w:val="0"/>
          <w:color w:val="3A4A28"/>
          <w:sz w:val="17"/>
        </w:rPr>
        <w:t>Apollo Corporate — CEO Marc Rowan Leadership, 'Purchase Price Matters' Philosophy, AI Strategy, Private Credit Expansion, apollo.com/Medium/Klover.ai,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Apollo ESG — 14-Year ESG Program, Sustainability Committee, UN SDG Alignment, Sustainable Investing Policy, apollo.com, 2023-2024</w:t>
      </w:r>
    </w:p>
    <w:p>
      <w:pPr>
        <w:spacing w:before="20" w:after="20"/>
        <w:ind w:left="170"/>
      </w:pPr>
      <w:r>
        <w:rPr>
          <w:rFonts w:ascii="Calibri" w:hAnsi="Calibri"/>
          <w:b/>
          <w:color w:val="4A6B25"/>
          <w:sz w:val="15"/>
        </w:rPr>
        <w:t xml:space="preserve">4. </w:t>
      </w:r>
      <w:r>
        <w:rPr>
          <w:rFonts w:ascii="Calibri" w:hAnsi="Calibri"/>
          <w:b w:val="0"/>
          <w:color w:val="3A4A28"/>
          <w:sz w:val="17"/>
        </w:rPr>
        <w:t>Insider Trading — Net Selling $135M (12 months), John Zito Sold 49K Shares ($6.4M), Marc Rowan Holds 34.2M Shares, TipRanks/SimplyWallSt,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APO Key Statistics: Stock Price $132.79, Forward PE 13.55, PEG 0.99, D/E 101%, ROE 11.41%, Dividend Yield 1.69%,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