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ARM</w:t>
      </w:r>
      <w:r>
        <w:rPr>
          <w:rFonts w:ascii="Calibri" w:hAnsi="Calibri"/>
          <w:b/>
          <w:color w:val="1A2010"/>
          <w:sz w:val="40"/>
        </w:rPr>
        <w:t xml:space="preserve">  Arm Holdings plc</w:t>
      </w:r>
    </w:p>
    <w:p>
      <w:pPr>
        <w:spacing w:after="120"/>
      </w:pPr>
      <w:r>
        <w:rPr>
          <w:rFonts w:ascii="Calibri" w:hAnsi="Calibri"/>
          <w:b/>
          <w:color w:val="6E8450"/>
          <w:sz w:val="18"/>
        </w:rPr>
        <w:t>GROWTH SLEEVE · 2026-08-23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Kingdom</w:t>
      </w:r>
    </w:p>
    <w:p>
      <w:pPr>
        <w:spacing w:after="80"/>
      </w:pPr>
      <w:r>
        <w:rPr>
          <w:rFonts w:ascii="Calibri" w:hAnsi="Calibri"/>
          <w:b w:val="0"/>
          <w:color w:val="3A4A28"/>
          <w:sz w:val="20"/>
        </w:rPr>
        <w:t>Arm Holdings plc designs and licenses central processing unit (CPU) architectures, systems, and related technologies to semiconductor companies and OEMs worldwide. Arm's architecture powers over 99% of the world's smartphones, a growing share of data center, automotive, and IoT markets, and is rapidly expanding into AI infrastructure through the Arm AGI CPU with over $2B cumulative customer demand. The company operates on a licensing and royalty model. In Q1 FY2027 (ending June 2026), Arm delivered record quarterly revenue of $1.289B (+22% YoY) with data center royalties more than doubling, and set a long-term $25B revenue target.</w:t>
      </w:r>
    </w:p>
    <w:p>
      <w:r>
        <w:rPr>
          <w:rFonts w:ascii="Calibri" w:hAnsi="Calibri"/>
          <w:b/>
          <w:color w:val="6E8450"/>
          <w:sz w:val="18"/>
        </w:rPr>
        <w:t>7,500 Employees · https://www.arm.com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Arm successfully expanded from mobile-dominant architecture into data center, automotive, and AI infrastructure markets, with data center royalty revenue more than doubling year-over-year across multiple quarters [1][3]. The Arm AGI CPU launch specifically targeting Agentic AI workloads attracted 50+ ecosystem partners and over $2B in cumulative customer demand, representing a significant platform expansion [3]. AI Deployment (2/2): Arm's AI strategy generates substantial measurable revenue — data center royalties (primarily AI-driven) more than doubled, licensing revenue grew 23% to $574M in Q1 FY2027 driven by AI demand, and the AGI CPU chip has $2B+ cumulative demand from customers building AI infrastructure [1][3]. AI is the primary growth engine. Market Share (2/2): Arm maintains a near-monopoly in mobile CPU architecture (99%+ of smartphones) and is the fastest-growing architecture in data centers, achieving four consecutive billion-dollar revenue quarters [1][3]. Every major AI chip maker (NVIDIA, Qualcomm, Apple, Google, Amazon) licenses Arm architecture. Product Pipeline (2/2): The Arm AGI CPU has specific demand visibility ($2B+ cumulative), the $25B long-term revenue target provides strategic direction, and the hiring of AWS's former AI chip director Rami Sinno signals ambition to expand from IP licensing toward full-chip production [2][3]. Q2 FY2027 guidance of $1.38B (+/- $50M) demonstrates near-term pipeline confidence. R&amp;D Intensity (1/1): Arm increased R&amp;D investment meaningfully in FY2026 despite margin pressure, reflecting the IP-intensive business model and commitment to staying at the architectural frontier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Arm's purpose of creating computing technology that enables partners to build solutions transforming every aspect of human life is specific, thoughtful, and differentiating [2]. The open licensing model democratizes access to advanced computing — enabling thousands of partners and billions of devices — and this purpose has been consistent through the SoftBank acquisition, IPO, and CEO transitions. The purpose clearly shapes strategic decisions (expanding to AI, automotive, data center) and distinguishes Arm from vertically integrated competitors. Community Impact (1/2): Arm's ecosystem approach creates value for thousands of partner companies and millions of developers globally. Sustainability reports cover environmental targets and community engagement, though no specific charitable foundation or dollar amounts were identified [4]. Employee Retention (2/2): Glassdoor rating of 4.5/5 based on 2,654 reviews — exceptional for any technology company [5]. Reviews consistently cite 'AI-driven culture, 10x impact mindset, collaboration at scale, global impact, and supportive leadership.' The high-trust culture where people are empowered to make decisions demonstrates the kind of organizational environment that retains top talent. Insider Buying (1/2): Neutral insider activity — executives have sold shares totaling several million in routine compensation-related transactions. No significant net buying identified, but no concerning large-scale liquidation either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Arm delivered record Q1 FY2027 revenue of $1.289B (+22% YoY) with FY2026 full-year revenue of $4.92B (+23%), marking three consecutive years of 20%+ growth [1][3]. The balance sheet is pristine with D/E of just 5.93% and a net cash position of $3.40B ($3.89B cash vs $485M debt). ROE of 13.35% is approaching the 15% target as profitability improves. Profit margin of 20.25% now exceeds the 20% target. Revenue growth YoY of 22% and 5-year CAGR of ~17% both score at maximum [7]. However, valuation is the dominant drag — Forward P/E of 118.43 far exceeds the 60 floor (scoring zero) and PEG of 3.33 exceeds the 3.0 floor (scoring zero), together accounting for 3 of 10 weight units receiving zero credit. The stock easily clears liquidity with approximately $3B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Arm Holdings demonstrates strong infinite game characteristics through its ecosystem-driven business model that has sustained relevance across multiple computing eras — from mobile to IoT to data centers to AI. The company's open licensing approach creates value for thousands of partners rather than capturing it all, reflecting Sinek's concept of playing to keep playing. The 4.5/5 Glassdoor rating with 2,654 reviews confirms a high-trust organizational culture. However, SoftBank's 90%+ controlling stake and CEO Rene Haas's dual role as SoftBank Group International CEO raise questions about whether strategic decisions serve Arm's long-term mission or SoftBank's portfolio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Arm's purpose of democratizing advanced computing through its open licensing model has been genuinely lived out — the company enables competitors to build on its architecture, creating an ecosystem rather than a monopoly [2]. This purpose has sustained through SoftBank's acquisition, the IPO, and CEO transitions. Strategic decisions (expanding from mobile to data centers and AI) clearly trace back to the mission of enabling computing everywhere. However, it hasn't yet been tested through multi-decade crisis-level consistency at the NVDA/Apple level.</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Arm's organizational culture is exceptional by any measure — Glassdoor rating of 4.5/5 based on 2,654 reviews, with employees consistently citing 'AI-driven culture, 10x impact mindset, collaboration at scale, and supportive leadership' [5]. The company operates with a high-trust culture where people are empowered to make decisions, enabling speed and ownership, with managers focused on 'clarity, coaching, and outcomes rather than close direction.' This is precisely the kind of psychological safety and empowerment that Sinek describes as the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Arm's competitive positioning inherently acknowledges the strength of rivals — the company's architecture competes with x86 (Intel, AMD) and RISC-V, and Arm's response has been to improve its offerings (launching AGI CPU for AI) rather than trying to destroy competitors [1][3]. CEO Haas has publicly acknowledged that competition from RISC-V makes Arm better, and the ecosystem model inherently invites collaboration rather than zero-sum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Arm has successfully expanded from its mobile-dominant position into data centers, automotive, and AI infrastructure, with data center revenue more than doubling and the AGI CPU representing a strategic bet on AI workloads [1][3]. The hiring of AWS's AI chip director Rami Sinno signals ambition to move from pure IP licensing toward full-chip production. These are significant strategic expansions, though incremental rather than transformative reinventions of the core licensing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Arm increased R&amp;D investment significantly in FY2026 despite analyst pressure on margins, demonstrating willingness to invest for long-term capability [1]. The AGI CPU launch and hiring of Rami Sinno represent bold expansions of scope. The decision to set a $25B long-term revenue target — approximately 5x current revenue — shows leadership ambition [3]. However, with SoftBank as controlling shareholder providing financial backing, Arm's bets carry less institutional risk than those of independent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Arm Holdings is the architectural foundation of the AI computing revolution, delivering Q1 FY2027 record revenue of $1.289B (+22% YoY) with data center royalties more than doubling and licensing revenue growing 23% to $574M [1][3]. FY2026 full-year revenue of $4.92B marked the third consecutive year of 20%+ growth, and the $25B long-term revenue target implies management sees enormous runway ahead. The AGI CPU has attracted $2B+ cumulative customer demand for AI data center workloads, and every major AI chip maker (NVIDIA, Qualcomm, Apple, Google, Amazon) licenses Arm architecture — making the company a structural beneficiary of every dollar spent on AI infrastructure [3]. The near-monopoly in mobile (99%+ market share) provides a royalty base that funds expansion, and profit margin crossing 20% demonstrates improving platform economics. The 4.5/5 Glassdoor rating reflects a high-trust culture that retains the world-class engineering talent essential to an IP company [5].</w:t>
      </w:r>
    </w:p>
    <w:p>
      <w:pPr>
        <w:spacing w:after="120"/>
      </w:pPr>
      <w:r>
        <w:rPr>
          <w:rFonts w:ascii="Calibri" w:hAnsi="Calibri"/>
          <w:b w:val="0"/>
          <w:color w:val="3A4A28"/>
          <w:sz w:val="20"/>
        </w:rPr>
        <w:t>The overwhelming concern is valuation. At 118x forward earnings and a PEG of 3.33, Arm is priced for extraordinary growth that must not only continue but accelerate to justify the ~$300B market cap [7]. The stock fell 8% after reporting record Q1 FY2027 results, demonstrating that even beating estimates is insufficient when expectations are this extreme — investors demand continuous upside surprises. SoftBank's 90%+ controlling stake creates governance risk — CEO Rene Haas's dual role as SoftBank Group International CEO raises questions about whether strategic decisions serve minority shareholders or SoftBank's portfolio [6]. The stock's extreme volatility (52-week range spanning nearly $100-$450) means investors must accept dramatic drawdowns. RISC-V represents a long-term architectural alternative that could pressure Arm's licensing pricing power in cost-sensitive markets. While the valuation drag prevents a BUY rating despite exceptional quality metrics, Arm's position as essential AI infrastructure with no substitution risk makes it a strong 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continued doubling of data center royalties, with the AGI CPU's $2B+ customer demand pipeline converting to production royalties as AI infrastructure scales globally [3]</w:t>
      </w:r>
    </w:p>
    <w:p>
      <w:pPr>
        <w:spacing w:before="40" w:after="40"/>
        <w:ind w:left="283"/>
      </w:pPr>
      <w:r>
        <w:rPr>
          <w:rFonts w:ascii="Calibri" w:hAnsi="Calibri"/>
          <w:b/>
          <w:color w:val="4A6B25"/>
          <w:sz w:val="20"/>
        </w:rPr>
        <w:t xml:space="preserve">2. </w:t>
      </w:r>
      <w:r>
        <w:rPr>
          <w:rFonts w:ascii="Calibri" w:hAnsi="Calibri"/>
          <w:b w:val="0"/>
          <w:color w:val="3A4A28"/>
          <w:sz w:val="20"/>
        </w:rPr>
        <w:t>Expansion from pure IP licensing toward full-chip production ambitions, signaled by hiring AWS's former AI chip director Rami Sinno, potentially transforming Arm's economics from royalty-based to higher-margin product revenue [2]</w:t>
      </w:r>
    </w:p>
    <w:p>
      <w:pPr>
        <w:spacing w:before="40" w:after="40"/>
        <w:ind w:left="283"/>
      </w:pPr>
      <w:r>
        <w:rPr>
          <w:rFonts w:ascii="Calibri" w:hAnsi="Calibri"/>
          <w:b/>
          <w:color w:val="4A6B25"/>
          <w:sz w:val="20"/>
        </w:rPr>
        <w:t xml:space="preserve">3. </w:t>
      </w:r>
      <w:r>
        <w:rPr>
          <w:rFonts w:ascii="Calibri" w:hAnsi="Calibri"/>
          <w:b w:val="0"/>
          <w:color w:val="3A4A28"/>
          <w:sz w:val="20"/>
        </w:rPr>
        <w:t>Q2 FY2027 guidance of $1.38B and $25B long-term revenue target demonstrate sustained growth trajectory, with each consecutive billion-dollar quarter validating the secular AI infrastructure thesis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118x and PEG of 3.33 leave zero margin of safety — any deceleration in AI-driven growth or broader tech sentiment correction could trigger severe multiple compression, as demonstrated by the 8% post-earnings selloff despite record results [7]</w:t>
      </w:r>
    </w:p>
    <w:p>
      <w:pPr>
        <w:spacing w:before="40" w:after="40"/>
        <w:ind w:left="283"/>
      </w:pPr>
      <w:r>
        <w:rPr>
          <w:rFonts w:ascii="Calibri" w:hAnsi="Calibri"/>
          <w:b/>
          <w:color w:val="4A6B25"/>
          <w:sz w:val="20"/>
        </w:rPr>
        <w:t xml:space="preserve">2. </w:t>
      </w:r>
      <w:r>
        <w:rPr>
          <w:rFonts w:ascii="Calibri" w:hAnsi="Calibri"/>
          <w:b w:val="0"/>
          <w:color w:val="3A4A28"/>
          <w:sz w:val="20"/>
        </w:rPr>
        <w:t>SoftBank's 90%+ controlling stake and CEO Haas's dual role as SoftBank Group International CEO create governance risk, with potential conflicts between minority shareholder interests and SoftBank portfolio optimization [6]</w:t>
      </w:r>
    </w:p>
    <w:p>
      <w:pPr>
        <w:spacing w:before="40" w:after="40"/>
        <w:ind w:left="283"/>
      </w:pPr>
      <w:r>
        <w:rPr>
          <w:rFonts w:ascii="Calibri" w:hAnsi="Calibri"/>
          <w:b/>
          <w:color w:val="4A6B25"/>
          <w:sz w:val="20"/>
        </w:rPr>
        <w:t xml:space="preserve">3. </w:t>
      </w:r>
      <w:r>
        <w:rPr>
          <w:rFonts w:ascii="Calibri" w:hAnsi="Calibri"/>
          <w:b w:val="0"/>
          <w:color w:val="3A4A28"/>
          <w:sz w:val="20"/>
        </w:rPr>
        <w:t>RISC-V open-source architecture is gaining momentum as a royalty-free alternative, with the potential to pressure Arm's pricing power in cost-sensitive IoT and embedded markets and potentially expand into data center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Arm's CPU architecture is foundational infrastructure for AI computing — the company IS the AI infrastructure layer, designing the instruction sets and processor architectures that power AI training and inference chips across the industry [1][3]. AI cannot displace Arm because AI systems require Arm's architectures to function. Data center royalties more than doubled year-over-year, and the AGI CPU was purpose-built for Agentic AI with $2B+ customer demand. Every major AI chip maker (NVIDIA, Qualcomm, Apple, Google, Amazon) licenses Arm architecture, creating structural revenue growth from AI proliferation. Arm is immune to AI disruption because it IS AI infrastructure. AI Opportunity (1/1): Arm generates substantial and growing AI revenue — licensing revenue grew 23% to $574M in Q1 FY2027, data center royalties more than doubled, and the AGI CPU has attracted $2B+ in customer demand [1][3]. The $25B long-term revenue target is anchored by AI-driven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Arm Holdings FY2026 Full-Year Results — Revenue $4.92B (+23%), Fourth Consecutive Billion-Dollar Quarter, arm.com, May 2026</w:t>
      </w:r>
    </w:p>
    <w:p>
      <w:pPr>
        <w:spacing w:before="20" w:after="20"/>
        <w:ind w:left="170"/>
      </w:pPr>
      <w:r>
        <w:rPr>
          <w:rFonts w:ascii="Calibri" w:hAnsi="Calibri"/>
          <w:b/>
          <w:color w:val="4A6B25"/>
          <w:sz w:val="15"/>
        </w:rPr>
        <w:t xml:space="preserve">2. </w:t>
      </w:r>
      <w:r>
        <w:rPr>
          <w:rFonts w:ascii="Calibri" w:hAnsi="Calibri"/>
          <w:b w:val="0"/>
          <w:color w:val="3A4A28"/>
          <w:sz w:val="17"/>
        </w:rPr>
        <w:t>Arm Holdings Corporate Website, Leadership, and AI Strategy — Rene Haas CEO, AGI CPU Launch, Rami Sinno Hire, arm.com,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Arm Holdings Q1 FY2027 Results — Record Revenue $1.289B (+22% YoY), Net Income $270M, AGI CPU Demand &gt;$2B, $25B Revenue Target, July 2026</w:t>
      </w:r>
    </w:p>
    <w:p>
      <w:pPr>
        <w:spacing w:before="20" w:after="20"/>
        <w:ind w:left="170"/>
      </w:pPr>
      <w:r>
        <w:rPr>
          <w:rFonts w:ascii="Calibri" w:hAnsi="Calibri"/>
          <w:b/>
          <w:color w:val="4A6B25"/>
          <w:sz w:val="15"/>
        </w:rPr>
        <w:t xml:space="preserve">4. </w:t>
      </w:r>
      <w:r>
        <w:rPr>
          <w:rFonts w:ascii="Calibri" w:hAnsi="Calibri"/>
          <w:b w:val="0"/>
          <w:color w:val="3A4A28"/>
          <w:sz w:val="17"/>
        </w:rPr>
        <w:t>Arm Holdings Sustainability Reports and ESG Disclosures — arm.com,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Glassdoor — Arm Holdings Employee Reviews: 4.5/5 Rating, 2,654 Reviews, 'AI-driven culture, 10x impact mindset,'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Arm Holdings Insider Trading Activity and SoftBank Governance — SEC Filings, StockTitan,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StockAnalysis — ARM Key Statistics: Forward P/E 118.43x, PEG 3.33, D/E 5.93%, ROE 13.35%, Profit Margin 20.25%,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