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BMNR</w:t>
      </w:r>
      <w:r>
        <w:rPr>
          <w:rFonts w:ascii="Calibri" w:hAnsi="Calibri"/>
          <w:b/>
          <w:color w:val="1A2010"/>
          <w:sz w:val="40"/>
        </w:rPr>
        <w:t xml:space="preserve">  BitMine Immersion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31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BitMine operates an Ethereum treasury (about 4.6M ETH, roughly 3.8% of supply), stakes ETH for yield, and is winding down proprietary bitcoin mining. Q3 FY2026 (May 2026) revenue was $46.5M versus $2.05M a year earlier, with a net loss to common of $83.6M [1]. Chairman Tom Lee; CEO Chi Tsang since November 2025 [2].</w:t>
      </w:r>
    </w:p>
    <w:p>
      <w:r>
        <w:rPr>
          <w:rFonts w:ascii="Calibri" w:hAnsi="Calibri"/>
          <w:b/>
          <w:color w:val="6E8450"/>
          <w:sz w:val="18"/>
        </w:rPr>
        <w:t>3 Employees · https://bitminetech.io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pivoted from bitcoin mining to the largest ETH treasury, opening a staking revenue stream (84% of H1 revenue, $11.2M) [1]. AI Deployment (1/2): immersion cooling for AI data centers and an indirect stake via Eightco (OpenAI equity) are exploratory, with no AI revenue [2]. Market Share (2/2): holds about 4% of ETH supply, the leading corporate ETH treasury [2]. Pipeline (1/2): staking platform buildout is ongoing but timelines are unspecific. R&amp;D Intensity (0/1): essentially none, with three employees.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a treasury strategy around Ethereum, with a purpose tied to asset accumulation rather than a deeper mission [2]. Community Impact (0/2): no charitable programs found. Employee Retention (0/2): no Glassdoor data; leadership was revamped in November 2025 with $1.91M of severance paid to the prior CEO [2]. Insider Buying (0/2): no verified net insider buying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Scored as a Growth stock. D/E of 0.011% (1.0) and revenue growth of 2,168% YoY (1.0) meet targets; forward P/E of 27.9 scores 0.80 [1]. ROE of -150.9% (0, 2x) and profit margin of 0.0% (0) offset them; the 5-year CAGR and PEG are unavailable and excluded. Weighted score is 2.8 of 6, or 4.7, rounding to 5. Daily dollar volume of about $1.0B passes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BitMine has reinvented itself from bitcoin miner to a leveraged Ethereum treasury, showing flexibility and conviction, but its strategy is concentrated in one volatile asset, leadership turned over in 2025, and there is no cause beyond accumulating ETH.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a thesis that Ethereum becomes core financial infrastructure is idealistic, but it functions as an investment strategy rather than a service-oriented cause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 three-person company with a CEO replaced in November 2025 and a board and leadership revamp suggest instability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positioned against Strategy-style treasury competitors on scale, with no learning-from-rivals framing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pivoted from immersion-cooled bitcoin mining to ETH treasury and staking, redefining the business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the balance sheet to roughly 4.6M ETH and winding down self-mining is a bold, costly bet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BitMine at $26.27 (about $15.8B market cap) is the largest corporate Ethereum treasury, with about 4.6M ETH (3.8% of supply) generating staking income: revenue reached $46.5M in the May 2026 quarter from $2.05M a year earlier, and TTM revenue is $61.2M [1][2]. Backed by Tom Lee as chairman and a debt-free balance sheet (D/E 0.011%), it offers leveraged exposure to Ethereum price and staking yield, with optionality from AI via the Eightco stake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concentration and volatility: net loss to common was $83.6M in Q3 despite $9.3M operating profit, ROE is -150.9%, and results are tied to ETH prices and mark-to-market accounting [1]. The consensus FY2026 revenue forecast was cut from $263M to $125M, the company has three employees, and a new CEO and board took over in November 2025 [1][2]. Equity trades as a premium vehicle on ETH; a crypto drawdown could crush both holdings and the premium.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Growth of the ETH treasury and staking income: quarterly revenue went from $1.3M (Q4 2025) to $46.5M (Q3 2026)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Ethereum adoption and price appreciation, with BitMine holding about 4% of supply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exposure through the Eightco stake and immersion cooling for data centers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Crypto price risk: an ETH drawdown drives large mark-to-market losses, as seen in an $83.6M Q3 net loss to common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Strategy concentration, a three-person staff and a new leadership team and board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Premium to net asset value could compress as other treasuries and ETFs compete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an ETH treasury and staking business is not displaced by AI, and its value tracks crypto prices and Ethereum adoption instead; analysts instead flag concentration, crypto price risk and a new leadership team [2]. AI Opportunity (0/1): no meaningful AI revenue; immersion cooling and the Eightco stake are not reported as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BitMine Q3 FY2026 Results (nine months ended May 31, 2026) — MarketScreener, Quiver Quant, Simply Wall St,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BitMine leadership and strategy — TipRanks, StockTitan 8-K, Yahoo Finance, Simply Wall St,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BitMine ESG positioning — Carbon Credits, FinancialContent,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BMNR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