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CLPR</w:t>
      </w:r>
      <w:r>
        <w:rPr>
          <w:rFonts w:ascii="Calibri" w:hAnsi="Calibri"/>
          <w:b/>
          <w:color w:val="1A2010"/>
          <w:sz w:val="40"/>
        </w:rPr>
        <w:t xml:space="preserve">  Clipper Realty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29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Residential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Clipper Realty owns and operates multifamily and commercial properties in New York City, controlled by Co-Chairman and CEO David Bistricer (about 40.7% stake) through a dual-class structure. Q2 2026 revenue was $38.6M (-1.2% YoY) with a $6.3M net loss and AFFO of $3.8M versus $8.3M a year ago after a commercial lease termination in the NYC portfolio.</w:t>
      </w:r>
    </w:p>
    <w:p>
      <w:r>
        <w:rPr>
          <w:rFonts w:ascii="Calibri" w:hAnsi="Calibri"/>
          <w:b/>
          <w:color w:val="6E8450"/>
          <w:sz w:val="18"/>
        </w:rPr>
        <w:t>https://www.clipperrealty.com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found on new launches, AI deployment, share leadership, named pipeline or R&amp;D; a NYC landlord with the same business model as five years ago. Residential leasing is strong (+$3.1M YoY) but that is execution, not innovation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1: no distinctive purpose beyond owning and operating NYC multifamily/commercial assets was found [1]. CEO owns about 40.7% but no open-market insider buying data was found; community and retention data absent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58,102 avg daily shares x $3.14 = about $182K, below $1M, so Infrastructure = 0. D/E and ROE unavailable from yfinance.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Controlled, leveraged landlord with related-party service providers; no articulated cause beyond asset ownership.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Just Cause evident; the company exists to own and lease NYC real estate for shareholders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Stable family-controlled management but no cultural or retention evidence found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competitive learning mindset evidenced.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Same asset-ownership model as at IPO; no strategic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examples of costly long-term sacrifice found; related-party service providers (IronHound, Clipper Equity) create conflict-of-interest concerns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Residential demand in NYC is strong, with Q2 2026 residential revenue up $3.1M to $32.2M on leasing [1]. The stock trades near $3 with a 7.9x forward P/E and AFFO recovery would reprice it sharply.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Q2 2026 net loss was $6.3M versus $1.4M, AFFO fell to $3.8M from $8.3M after commercial revenue dropped $3.6M on a lease termination, and TTM revenue is down 1.7% [1]. Dual-class control with a 40.7% CEO stake and affiliated vendors limits minority protection, and daily dollar volume of about $182K fails the IOWN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Backfilling the terminated NYC commercial lease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residential rent growth lifting AFFO from $3.8M quarterly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Refinancing at lower rates easing interest burden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Refinancing risk on a highly levered NYC portfolio with negative margins (-8.4%)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Rent regulation and NYC policy changes constraining residential income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Related-party conflicts and dual-class control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Physical NYC residential real estate cannot be displaced by AI; demand is driven by housing scarcity and rent regulation, and analysts raise no AI substitution concern [1]. No AI revenue, so the tiebreaker scores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Clipper Realty Q2 2026 Results, Business Wire/Morningstar,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Clipper Realty Executive Compensation and Governance 2026, Panabee/Yahoo Finance profile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