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CNX</w:t>
      </w:r>
      <w:r>
        <w:rPr>
          <w:rFonts w:ascii="Calibri" w:hAnsi="Calibri"/>
          <w:b/>
          <w:color w:val="1A2010"/>
          <w:sz w:val="40"/>
        </w:rPr>
        <w:t xml:space="preserve">  CNX Resources Corporation</w:t>
      </w:r>
    </w:p>
    <w:p>
      <w:pPr>
        <w:spacing w:after="120"/>
      </w:pPr>
      <w:r>
        <w:rPr>
          <w:rFonts w:ascii="Calibri" w:hAnsi="Calibri"/>
          <w:b/>
          <w:color w:val="6E8450"/>
          <w:sz w:val="18"/>
        </w:rPr>
        <w:t>GROWTH SLEEVE · 2026-08-28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CNX Resources is a premier, low carbon intensive natural gas development, production, midstream, and technology company centered in Appalachia with a 158-year regional legacy. The company claims net carbon negative status for Scope 1 and 2 emissions — the only oil and gas producer or midstream operator making this claim — by preventing over 300,000 metric tons of methane emissions annually. CNX produces approximately 605-620 Bcfe annually from its Appalachian asset base. Q2 2026 revenue reached $618M (+29.2% YoY), and the company has repurchased approximately $2.13B in shares since 2018. Management targets a $90M annual run rate from 45Z tax credit sales and environmental attributes starting in 2027.</w:t>
      </w:r>
    </w:p>
    <w:p>
      <w:r>
        <w:rPr>
          <w:rFonts w:ascii="Calibri" w:hAnsi="Calibri"/>
          <w:b/>
          <w:color w:val="6E8450"/>
          <w:sz w:val="18"/>
        </w:rPr>
        <w:t>2,500 Employees · https://www.cnx.com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CNX completed a significant strategic transformation from its CONSOL Energy coal heritage to a pure-play natural gas and low-carbon technology company, and achieved first-in-industry net carbon negative status for Scope 1 and 2 emissions by preventing over 300,000 metric tons of methane emissions annually [3]. The company is developing environmental attributes and 45Z tax credit sales as a new revenue stream with a specific $90M annual run-rate target by 2027 [1]. However, these are evolutionary extensions of the core gas business rather than transformative product launches or business model reinventions. AI Deployment (0/2): Analysis suggests CNX needs to 'build or partner for AI expertise, transforming from a traditional energy producer into a tech-enabled energy leader' — AI remains aspirational rather than deployed [2]. No AI-powered products, services, or quantified internal efficiency gains were identified. Market Share (1/2): CNX is a meaningful player in the Appalachian Basin with a 'non-replicable asset base' and leading core operational competencies, but it is not a category leader in the broader natural gas E&amp;P landscape by production volume [1]. Product Pipeline (1/2): The company drilled two Utica wells in Q2 2026 in line with its full-year plan, reaffirmed production guidance of 605-620 Bcfe, and has specific environmental attribute revenue targets ($90M by 2027) [1]. R&amp;D Intensity (0/1): No specific R&amp;D spending data was found. CNX's technology innovation focuses on operational efficiency and environmental monitoring rather than formal R&amp;D investment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CNX positions itself as a 'premier, low carbon intensive natural gas development, production, midstream, and technology company' with a commitment to 'tangible, impactful, and local' sustainability [3]. This is specific to their operations and differentiates from commodity peers, but reads more as a business description than a transformative purpose that inspires sacrifice and long-term commitment. Community Impact (1/2): CNX's 'Radical Transparency' initiative — collecting over 1 million environmental data points simultaneously reported to regulators and publicly posted — is a distinctive approach to community accountability [3]. The company's 158-year Appalachian presence and focus on local community impact are genuine. However, no specific charitable programs, foundation activities, or dollar amounts dedicated to community investment were identified beyond standard corporate engagement. Employee Retention (0/2): The CEO transition from Nick Deiuliis (long-time CEO, now on Board) to Alan Shepard (20+ years in energy sector, CFO since 2022) shows succession planning, but Shepard's tenure at CNX specifically is relatively short [2]. No voluntary turnover data, average employee tenure, or other retention metrics were found. Insider Buying (0/2): CNX has returned $2.13B to shareholders through buybacks since 2018, which signals management conviction in the stock but is corporate-level capital allocation, not personal insider buying. No evidence of meaningful net insider purchases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Every metric meets or exceeds its target, producing a perfect score driven by CNX's combination of strong cyclical recovery and conservative capitalization [4]. D/E of 60.0% is well below the 70% target. ROE of 21.25% exceeds the 15% target. Revenue growth YoY of 29.2% far surpasses the 10% target, driven by higher natural gas prices and production volumes (Q2 revenue $618M vs ~$479M prior year) [1]. Forward P/E of 14.33 is well below the 20x target, reflecting the energy sector's valuation discount. Profit margin of 29.55% exceeds the 20% target. Forward PEG of 0.28 dramatically undercuts the 1.0 target. The 5-year revenue CAGR of approximately 10.5% meets the 10% target. Important caveat: these metrics are partly commodity-cycle driven — natural gas E&amp;P financials are inherently cyclical, and management noted near-term gas prices look 'a little bit soft' [1]. Q2 2026 profits of $348M included significant derivative gains that inflate reported margins [1]. Liquidity floor easily cleared at ~$24.5M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CNX Resources is a well-run commodity company that has made meaningful environmental commitments — net carbon negative status is a first-in-industry achievement — but operates fundamentally as a finite game player optimized for per-share value creation. The $2.13B in share buybacks since 2018, production optimization language, and commodity-price-driven strategy are hallmarks of a company playing to win this cycle rather than building for an infinite future. The CEO transition from Deiuliis to Shepard maintains operational continuity but has not introduced a new long-term vision beyond incremental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CNX's stated purpose centers on being a 'premier, low carbon intensive natural gas' company with 'tangible, impactful, and local' sustainability. While the environmental commitments (net carbon negative, methane reduction tied to executive compensation) are genuine and distinctive, the purpose is fundamentally about being the best version of what the company already is — a gas producer — rather than a vision of a future state that inspires sacrifice [3]. Leadership language focuses on 'optimizing long-term per-share value,' which is the definition of finite-game thinking in Sinek's framework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Nick Deiuliis (remaining on the Board) to Alan Shepard was orderly, with Shepard serving as CFO since 2022 and President since 2025 before assuming CEO in January 2026 [2]. The company emphasizes that its 'executive leadership team drives corporate strategy, innovation, and performance and establishes clear, measurable goals to ensure operational conduct reflects company culture and values.' However, no specific voluntary turnover data, employee engagement metrics, or evidence of exceptional trust culture was found to distinguish CNX from E&amp;P industry averages.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CNX's competitive language emphasizes its 'non-replicable asset base' and leadership position in Appalachia — framing advantages as barriers to competitors rather than learning from rivals' strengths [1]. The E&amp;P industry generally operates with a finite competitive framework focused on acreage, production volumes, and cost structures.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CNX evolved meaningfully from its CONSOL Energy coal heritage — the 2017 separation created a pure-play natural gas company that has subsequently achieved net carbon negative status and is developing environmental attributes as a new revenue stream [3]. The coal-to-gas transition required abandoning a legacy business in response to secular industry shifts. However, the core business model (extract hydrocarbons, sell them) has remained fundamentally the same, and the environmental initiatives are extensions of the existing gas operation rather than transformative pivots into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Achieving net carbon negative status as a natural gas producer required real investment against industry norms — tying 10% of long-term executive compensation to methane reduction targets significantly below global benchmarks, and collecting over 1 million environmental data points for public disclosure ('Radical Transparency') [3]. The $90M environmental attribute revenue target represents a forward-looking bet on carbon markets. However, the dominant capital allocation strategy — $2.13B in share buybacks since 2018 — is financial engineering that prioritizes near-term per-share value creation over transformative long-term capability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CNX Resources at 14.3x forward earnings is the cheapest stock in this screen with a PEG of 0.28, reflecting the energy sector's persistent valuation discount despite strong operational execution — Q2 2026 revenue of $618M (+29.2% YoY) beat estimates by $140M, and the company reaffirmed production guidance of 605-620 Bcfe [1]. D/E of 60%, ROE of 21.25%, and profit margin of 29.55% demonstrate financial discipline unusual for E&amp;P companies [4]. The carbon negative status and $90M environmental attribute revenue target by 2027 provide optionality on carbon credit markets that peers lack [3]. The $2.13B in cumulative share buybacks since 2018 has meaningfully reduced the share count, amplifying per-share value creation. The Inspire Impact Score of 47 (ALIGNED) with zero negative attributions makes CNX attractive for faith-based investors seeking energy exposure.</w:t>
      </w:r>
    </w:p>
    <w:p>
      <w:pPr>
        <w:spacing w:after="120"/>
      </w:pPr>
      <w:r>
        <w:rPr>
          <w:rFonts w:ascii="Calibri" w:hAnsi="Calibri"/>
          <w:b w:val="0"/>
          <w:color w:val="3A4A28"/>
          <w:sz w:val="20"/>
        </w:rPr>
        <w:t>The bear case centers on commodity cyclicality and purpose limitations. Management explicitly noted natural gas prices look 'a little bit soft' near-term, and Q2 profits of $348M were inflated by derivative gains that may not repeat — the forward PE of 14.33x above the trailing PE of 10.12x implies analysts expect earnings to decline from current levels [1][4]. Natural gas E&amp;P is inherently commodity-driven: revenue, margins, and ROE can deteriorate rapidly in a weak gas price environment, and the perfect infrastructure score reflects cyclical peak metrics rather than structural financial advantage. The 5-year revenue trajectory ($1.4B → $2.3B) masks significant annual volatility ($1.4B → $2.2B → $1.6B → $1.4B → $2.1B → $2.3B) that makes growth rates unreliable. CNX's Innovation score of 4 and Inspiration score of 3 reflect a company with operational excellence but limited purpose beyond commodity extraction — the WATCH recommendation results from strong financials offset by weak qualitative scores in a framework that weights purpose and adaptability alongside financial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Environmental attribute and 45Z tax credit revenue reaching the $90M annual run-rate target by 2027 would create a new, higher-margin revenue stream that differentiates CNX from pure commodity peers and could drive multiple expansion [1][3]</w:t>
      </w:r>
    </w:p>
    <w:p>
      <w:pPr>
        <w:spacing w:before="40" w:after="40"/>
        <w:ind w:left="283"/>
      </w:pPr>
      <w:r>
        <w:rPr>
          <w:rFonts w:ascii="Calibri" w:hAnsi="Calibri"/>
          <w:b/>
          <w:color w:val="4A6B25"/>
          <w:sz w:val="20"/>
        </w:rPr>
        <w:t xml:space="preserve">2. </w:t>
      </w:r>
      <w:r>
        <w:rPr>
          <w:rFonts w:ascii="Calibri" w:hAnsi="Calibri"/>
          <w:b w:val="0"/>
          <w:color w:val="3A4A28"/>
          <w:sz w:val="20"/>
        </w:rPr>
        <w:t>Natural gas demand growth driven by AI data center power requirements and LNG export capacity additions could structurally tighten U.S. gas markets and lift realized prices above management's 'soft' near-term outlook [1]</w:t>
      </w:r>
    </w:p>
    <w:p>
      <w:pPr>
        <w:spacing w:before="40" w:after="40"/>
        <w:ind w:left="283"/>
      </w:pPr>
      <w:r>
        <w:rPr>
          <w:rFonts w:ascii="Calibri" w:hAnsi="Calibri"/>
          <w:b/>
          <w:color w:val="4A6B25"/>
          <w:sz w:val="20"/>
        </w:rPr>
        <w:t xml:space="preserve">3. </w:t>
      </w:r>
      <w:r>
        <w:rPr>
          <w:rFonts w:ascii="Calibri" w:hAnsi="Calibri"/>
          <w:b w:val="0"/>
          <w:color w:val="3A4A28"/>
          <w:sz w:val="20"/>
        </w:rPr>
        <w:t>Continued share repurchase program (already $2.13B since 2018) at current valuations (PEG 0.28, Forward PE 14.3x) compounds per-share intrinsic value at an accelerating rate as the buyback consumes a larger percentage of the shrinking float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softness cited by management — U.S. gas prices remain structurally volatile, and a sustained price decline below $2.50/MMBtu would compress margins, reduce ROE, and rapidly deteriorate the currently perfect infrastructure metrics [1]</w:t>
      </w:r>
    </w:p>
    <w:p>
      <w:pPr>
        <w:spacing w:before="40" w:after="40"/>
        <w:ind w:left="283"/>
      </w:pPr>
      <w:r>
        <w:rPr>
          <w:rFonts w:ascii="Calibri" w:hAnsi="Calibri"/>
          <w:b/>
          <w:color w:val="4A6B25"/>
          <w:sz w:val="20"/>
        </w:rPr>
        <w:t xml:space="preserve">2. </w:t>
      </w:r>
      <w:r>
        <w:rPr>
          <w:rFonts w:ascii="Calibri" w:hAnsi="Calibri"/>
          <w:b w:val="0"/>
          <w:color w:val="3A4A28"/>
          <w:sz w:val="20"/>
        </w:rPr>
        <w:t>Q2 2026 profits of $348M inflated by derivative gains that may not repeat — forward PE (14.3x) above trailing PE (10.12x) signals the market expects earnings normalization, meaning the current valuation may not be as cheap as headline metrics suggest [1][4]</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Nick Deiuliis to Alan Shepard (effective January 2026) introduces leadership risk during a period of strategic evolution — Shepard's relatively short tenure at CNX (CFO since 2022) leaves his strategic vision untested through a commodity downturn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CNX Resources' core business is physically extracting natural gas from underground Appalachian formations through drilling, hydraulic fracturing, and midstream processing — operations that AI structurally cannot replace [1]. Physical-world energy infrastructure, regulatory permits, mineral rights, geological expertise, and pipeline networks create moats that no AI system can substitute. AI-driven demand for data center power is actually increasing demand for natural gas as a transition fuel and baseload power source, potentially benefiting CNX's production volumes [1]. The only modest risk vector is AI-powered renewable energy optimization reducing long-term gas demand, but this is a decade-plus timeline and gas remains essential for grid reliability and industrial use. AI Opportunity (0/1): CNX does not generate revenue from AI products or services. The company uses technology for methane monitoring and environmental attribute tracking, but these are operational tools, not AI revenue streams. The SWOT analysis identified the need to build AI capabilities as a strategic imperative, suggesting AI opportunity remains unrealized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CNX Resources Q2 2026 Earnings — Revenue $618M (+29.2% YoY, beat by $140M), $348M Profit on Derivative Gains, Reaffirmed 2026 Production Guidance 605-620 Bcfe, Gas Prices 'a Little Bit Soft' — Investing.com,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CNX Resources Leadership Transition — Alan Shepard Succeeds Nick Deiuliis as CEO (Jan 2026), 20+ Year Energy Veteran, CFO Since 2022 — PRNewswire, Simply Wall St, GuruFocus, 2025-2026</w:t>
      </w:r>
    </w:p>
    <w:p>
      <w:pPr>
        <w:spacing w:before="20" w:after="20"/>
        <w:ind w:left="170"/>
      </w:pPr>
      <w:r>
        <w:rPr>
          <w:rFonts w:ascii="Calibri" w:hAnsi="Calibri"/>
          <w:b/>
          <w:color w:val="4A6B25"/>
          <w:sz w:val="15"/>
        </w:rPr>
        <w:t xml:space="preserve">3. </w:t>
      </w:r>
      <w:r>
        <w:rPr>
          <w:rFonts w:ascii="Calibri" w:hAnsi="Calibri"/>
          <w:b w:val="0"/>
          <w:color w:val="3A4A28"/>
          <w:sz w:val="17"/>
        </w:rPr>
        <w:t>CNX Resources ESG and Environmental Achievement — Net Carbon Negative Status (Scope 1 &amp; 2), 300K+ MT Methane Prevention, Radical Transparency (1M+ Data Points), Executive Comp Tied to Methane Targets — Natural Gas Intel, Hart Energy, PRNewswire,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CNX Key Statistics: Forward P/E 14.33, PEG 0.28, ROE 21.25%, D/E 60%, Profit Margin 29.55%, Stock Price $34.61,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