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EPRT</w:t>
      </w:r>
      <w:r>
        <w:rPr>
          <w:rFonts w:ascii="Calibri" w:hAnsi="Calibri"/>
          <w:b/>
          <w:color w:val="1A2010"/>
          <w:sz w:val="40"/>
        </w:rPr>
        <w:t xml:space="preserve">  Essential Properties Realty Trust,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2026-09-11 · Inspire: 50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Diversified (Net Lease)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Essential Properties Realty Trust is an internally managed net lease REIT purpose-built in 2016 to focus on middle-market, service-oriented and experience-based tenants — restaurants, car washes, automotive services, medical and dental clinics, early childhood education, entertainment, and health/fitness — via sale-leaseback transactions, a niche often overlooked by larger net lease peers focused on investment-grade tenants [3]. Q1 2026 revenue was $158.8M (+22.7% YoY) and the company raised full-year 2026 AFFO guidance to $2.01-$2.05/share alongside investment volume guidance of $1.2-$1.5B, with 99.6% portfolio occupancy and 3.5x rent coverage [1].</w:t>
      </w:r>
    </w:p>
    <w:p>
      <w:r>
        <w:rPr>
          <w:rFonts w:ascii="Calibri" w:hAnsi="Calibri"/>
          <w:b/>
          <w:color w:val="6E8450"/>
          <w:sz w:val="18"/>
        </w:rPr>
        <w:t>61 Employees · https://essentialproperties.com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EPRT was purpose-built in 2016 around an underserved niche — sale-leaseback growth capital for non-investment-grade, middle-market service and experiential tenants — and has grown revenue from $164M (2020) to $561M (2025), more than tripling in five years by executing this differentiated model rather than competing head-on with Realty Income or NNN for investment-grade tenants [2][3]. AI Deployment (0/2): No evidence of AI-powered products, tools, or internally reported AI-driven savings was found. Market Share Leadership (1/2): At roughly $5-6B market cap, EPRT is a meaningful but not dominant player in net lease, several times smaller than category leaders like Realty Income; it has carved a leading position specifically within the middle-market/experiential sale-leaseback niche but is not a broad category leader [1]. Product Pipeline (1/2): 2026 investment volume guidance of $1.2-$1.5B provides specific dollar visibility for the current year, though this is capital deployment guidance rather than a next-generation product roadmap. R&amp;D Intensity (0/1): Not applicable/no data — R&amp;D is not a meaningful spend category for this business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EPRT's stated purpose — providing growth capital to overlooked middle-market companies via sale-leaseback — clearly identifies what the company does and for whom, and reflects real strategic intentionality in choosing an underserved niche, but reads as business strategy rather than a deeper, resilient purpose [3]. Community Impact (0/2): No evidence of charitable giving, a foundation, or community investment programs was found. Employee Retention (1/2): A Glassdoor review describes the culture as 'sharing, caring, educating and supportive,' but with only ~61 employees and no disclosed tenure or turnover statistics, this is a single positive data point rather than substantiated average-or-better retention [4]. Insider Buying (0/2): Recent Form 4 activity shows net insider selling — CFO Robert Salisbury sold $186,530 of stock in March 2026 and another insider filed a Form 144 to sell $709,576 in July 2026 — with no offsetting open-market buying found.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(Dividend weighting). D/E of 66% is under the 70% target (score 1.0). ROE of 6.48% is well below the 15% target (score 0.43), typical of a REIT with a large, recently-issued equity base. Revenue growth of 22.7% YoY (Q1 2026) and a 5-year revenue CAGR of ~27.9% (2020: $164.0M to 2025: $561.2M) both far exceed the 10% targets (capped at 1.0) [1][2]. Forward P/E of 21.2 is just above the 20 target (score 0.97), and profit margin of 43.5% comfortably clears the 20% target (capped at 1.0). On dividend metrics: payout ratio of 98.0% is near the 100% floor (score 0.03); consecutive years of both dividend payment and growth (~6, since the November 2019 IPO, with 9 increases over the past 5 years) fall short of the 10-year target (score 0.6 each); and 5-year dividend growth CAGR of 5.28% is just under the 6% target (score 0.88, 2x weight) [6]. Average daily volume of ~1.25M shares at $29.10 (~$36.4M/day) comfortably clears the liquidity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EPRT is a well-run, narrowly-focused net lease REIT executing consistently on the niche it was purpose-built for in 2016, but the evidence found reflects competent business execution rather than Sinek's infinite-game markers — no examples of costly principled decisions, no articulated Just Cause beyond serving an underserved market segment, and recent insider activity skews toward selling rather than conviction buying [1][3][4].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Providing growth capital to overlooked middle-market service businesses via sale-leaseback is a genuine market-serving niche, but it is framed and executed as a business strategy to generate REIT returns rather than an idealistic cause that invites sacrifice or has been tested through crisis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The lone available Glassdoor review describes a 'sharing, caring, educating and supportive' environment, a positive but thin signal from a ~61-person organization with no disclosed tenure or turnover data to substantiate a high-trust culture at scale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management framing competition with larger net lease peers (Realty Income, NNN, Agree Realty) in terms of learning or self-improvement; EPRT's public commentary focuses on its own investment volume and occupancy metrics rather than competitive positioning language.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EPRT has not faced a test of existential flexibility — it was purpose-built in 2016 around its current middle-market/experiential thesis and has consistently scaled that same model since IPO rather than pivoting from a prior business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was found of leadership sacrificing near-term earnings for long-term capability, walking away from profitable but misaligned business, or investing counter-cyclically through a downturn; recent Form 4 filings show the CFO and other insiders selling shares rather than signaling conviction through purchases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Essential Properties has built a differentiated net lease niche around middle-market, service-oriented and experience-based tenants (car washes, restaurants, medical/dental, early childhood education) that are structurally immune to both e-commerce and AI disruption, growing revenue from $164M to $561M over five years (a ~28% CAGR) while maintaining 99.6% occupancy and 3.5x rent coverage [1][2]. The company raised full-year 2026 AFFO guidance to $2.01-$2.05/share and investment volume guidance to $1.2-$1.5B, and D/E of 66% and profit margin of 43.5% reflect a disciplined, well-capitalized balance sheet for continued sale-leaseback growth. The 4.4% dividend yield is backed by 6 consecutive years of increases (9 raises in 5 years) since the November 2019 IPO.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thin qualitative evidence of durable competitive advantage or organizational depth: with only ~61 employees, EPRT's underwriting and portfolio-management bandwidth is a key-person and process risk as the company scales investment volume toward $1.5B annually [1]. Recent insider activity has skewed toward selling — the CFO sold $186,530 of stock in March 2026 and another insider filed to sell $709,576 in July 2026 — offering no offsetting signal of open-market conviction buying. The 98% payout ratio leaves little dividend-coverage cushion if same-store rent growth (currently a modest 1.5%) or occupancy (99.6%) were to deteriorate, and a Forward P/E of 21.2x/PEG of 3.2 prices in continued double-digit growth that depends on capital markets access to fund the acquisition-driven model.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execution against raised 2026 guidance ($2.01-$2.05 AFFO/share, $1.2-1.5B investment volume) as the middle-market sale-leaseback niche remains underserved by larger net lease peers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Portfolio diversification into additional service-oriented and experience-based categories, further insulating the REIT from both e-commerce and AI-driven disruption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re-rating toward larger net lease peers' multiples if EPRT continues to compound revenue and AFFO at a premium growth rate to Realty Income and NNN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Concentration in non-investment-grade, middle-market tenants carries higher credit risk than investment-grade-focused peers if a economic downturn pressures smaller operators' ability to pay rent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Thin organizational bandwidth (~61 employees) underwriting a growing, capital-intensive acquisition pipeline ($1.2-1.5B guided for 2026) concentrates execution risk in a small team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98% payout ratio leaves minimal dividend-coverage cushion, and continued growth depends on favorable access to equity and debt capital markets to fund the sale-leaseback acquisition model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EPRT's tenant base is deliberately concentrated in service-oriented and experience-based businesses — car washes, automotive service, restaurants, medical and dental clinics, early childhood education, entertainment, and fitness — all of which require in-person physical delivery and are structurally immune to AI substitution; you cannot AI a car wash, a dental cleaning, or a daycare drop-off [3]. As the landlord rather than the operator, EPRT's own revenue (long-term net lease rent, 99.6% occupied, 3.5x rent coverage) is insulated from any AI disruption at the tenant-operator level [1]. AI Opportunity (0/1): No evidence of AI-related revenue was found; this is a pure real estate holding company.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50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Essential Properties Realty Trust Q1/Q2 2026 Earnings Releases &amp; Calls — Revenue $158.8M (+22.7% YoY Q1), raised FY2026 AFFO guidance to $2.01-$2.05, investment volume guidance $1.2-1.5B, 99.6% occupancy, 3.5x rent coverage — SEC 8-K, Investing.com, StockTitan,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Essential Properties Realty Trust Annual Revenue History (2020-2025) — StockAnalysis.com,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Essential Properties Realty Trust corporate overview — purpose-built 2016 middle-market sale-leaseback strategy, CEO Pete Mavoides — Company website, dcf-model.com, Seeking Alpha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Glassdoor — Essential Properties Realty Trust employee reviews,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Essential Properties Realty Trust 2023 Corporate Responsibility Report; Sustainalytics ESG Risk Rating —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— EPRT key statistics and dividend data; MarketBeat/StockTitan Form 4 insider transaction filings, accessed September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