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EVTV</w:t>
      </w:r>
      <w:r>
        <w:rPr>
          <w:rFonts w:ascii="Calibri" w:hAnsi="Calibri"/>
          <w:b/>
          <w:color w:val="1A2010"/>
          <w:sz w:val="40"/>
        </w:rPr>
        <w:t xml:space="preserve">  Envirotech Vehicles,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62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Auto Manufacturers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Envirotech Vehicles historically built electric commercial vehicles and is transitioning to AI infrastructure after the July 2, 2026 Azio AI merger. 2025 revenue was $5.9M (+218%), 94% from related-party medical supplies, with a Q1 2026 net loss of $3.99M and going-concern doubt. yfinance data was unavailable.</w:t>
      </w:r>
    </w:p>
    <w:p>
      <w:r>
        <w:rPr>
          <w:rFonts w:ascii="Calibri" w:hAnsi="Calibri"/>
          <w:b/>
          <w:color w:val="6E8450"/>
          <w:sz w:val="18"/>
        </w:rPr>
        <w:t>https://www.evtvusa.com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Pivoting from EV manufacturing to AI compute after the Azio AI merger [1]. AI Deployment (1/2): Launched a revenue-generating compute platform, no figures reported [1]. Market Share (0/2): No leadership. Pipeline (1/2): Compute platform roadmap announced, not detailed. R&amp;D Intensity (0/1): No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Mission has changed from clean EVs to AI infrastructure. Community (0/2), Retention (0/2): Glassdoor 3.0/5 culture, CEO replaced in July 2026 [2]. Insider Buying (0/2): None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yfinance returned no data, so only web-sourced metrics are used: revenue growth +218% (1.0), ROE negative on negative equity (0.0, 2x), profit margin deeply negative (0.0); others unavailable. Weighted 1.0 of 4 gives 2 (rounded from 2.5). Liquidity could not be verified, so the floor was not applied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Envirotech abandoned its EV manufacturing identity under financial strain and replaced its CEO, which looks more like survival than service to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Purpose shifted from electric vehicles to AI compute with no stable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Leadership change at merger close and 3.0/5 culture rating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A major pivot, but driven by desperation rather than cause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Walked away from EV manufacturing, though under duress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Envirotech is repositioning from EV manufacturing to AI compute after the Azio AI merger, with 2025 revenue up 218% to $5.9M, Q1 2026 revenue of $2.25M (+281%), and a newly launched revenue-generating compute platform [1]. The Inspire score of 62 is strongly aligned.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solvency: Q1 2026 net loss was $3.99M, gross margin is negative, equity is negative with going-concern doubt, and Nasdaq listing warnings apply [1]. EV revenue was zero, 94% of 2025 revenue came from one related-party customer, and the CEO changed in July 2026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Ramp of the AI compute platform following the Azio AI merger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Diversifying revenue beyond related-party medical supplies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Curing Nasdaq compliance issues via new funding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Going-concern doubt, negative equity and funding strain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Customer concentration: 94% of 2025 revenue from related-party medical supplies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Nasdaq listing risk and leadership turnover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(4/9): Newly entering AI compute with a tiny platform against hyperscalers and neoclouds; going-concern doubts and listing risk raise exposure [1]. AI Opportunity (0/1): No quantified AI revenue yet.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Envirotech Vehicles Q1 2026 10-Q and 2025 results, StockTitan, StockAnalysis, Barchart,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Envirotech leadership: Chris Young named CEO (Sahm Capital, July 2026); Glassdoor Envirotech reviews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