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FSM</w:t>
      </w:r>
      <w:r>
        <w:rPr>
          <w:rFonts w:ascii="Calibri" w:hAnsi="Calibri"/>
          <w:b/>
          <w:color w:val="1A2010"/>
          <w:sz w:val="40"/>
        </w:rPr>
        <w:t xml:space="preserve">  Fortuna Mining Corp.</w:t>
      </w:r>
    </w:p>
    <w:p>
      <w:pPr>
        <w:spacing w:after="120"/>
      </w:pPr>
      <w:r>
        <w:rPr>
          <w:rFonts w:ascii="Calibri" w:hAnsi="Calibri"/>
          <w:b/>
          <w:color w:val="6E8450"/>
          <w:sz w:val="18"/>
        </w:rPr>
        <w:t>GROWTH SLEEVE · 2026-08-22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 Canada</w:t>
      </w:r>
    </w:p>
    <w:p>
      <w:pPr>
        <w:spacing w:after="80"/>
      </w:pPr>
      <w:r>
        <w:rPr>
          <w:rFonts w:ascii="Calibri" w:hAnsi="Calibri"/>
          <w:b w:val="0"/>
          <w:color w:val="3A4A28"/>
          <w:sz w:val="20"/>
        </w:rPr>
        <w:t>Fortuna Mining Corp. (formerly Fortuna Silver Mines) is a Canadian precious metals producer operating three mines across Latin America and West Africa, producing gold and silver. The company reported record Q1 2026 revenue of $342.5M (+76% YoY) driven by elevated gold prices at $5,400/oz and strong operational execution at the Seguela Mine in Cote d'Ivoire. H1 2026 net income reached $203.7M with free cash flow of $259.7M. Fortuna plans to increase gold production by 60% over the next 24 months through Seguela expansion and the Diamba Sud project in Senegal. Market cap is approximately $2.85B.</w:t>
      </w:r>
    </w:p>
    <w:p>
      <w:r>
        <w:rPr>
          <w:rFonts w:ascii="Calibri" w:hAnsi="Calibri"/>
          <w:b/>
          <w:color w:val="6E8450"/>
          <w:sz w:val="18"/>
        </w:rPr>
        <w:t>4,960 Employees · https://fortunamining.com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Fortuna has successfully grown from a single-mine silver producer to a multi-mine gold-dominant operator through organic development and the transformative 2021 Roxgold acquisition, which added the high-grade Seguela Mine in Cote d'Ivoire [1]. Revenue has grown from approximately $300M in 2020 to $1.09B TTM, reflecting successful M&amp;A integration and operational execution across three continents. The name change from Fortuna Silver Mines to Fortuna Mining Corp. reflects the strategic evolution toward gold-dominant production. AI Deployment (0/2): No evidence of meaningful AI deployment in mining operations, exploration targeting, or corporate processes. The broader mining industry is adopting AI for geological analysis and operational optimization, but Fortuna has not disclosed specific AI initiatives. Market Share (1/2): Fortuna is a mid-tier precious metals producer, not dominant in any single geography but establishing a meaningful multi-jurisdictional presence. The company produced approximately 450,000 gold equivalent ounces in 2025, positioning it among the top 20-30 gold producers globally [4]. Pipeline (2/2): The Diamba Sud project in Senegal and Seguela mine expansion plan to increase gold production by 60% over 24 months, providing significant visible growth [1]. Exploration programs across existing operations and regional targets in West Africa and Latin America add optionality. R&amp;D Intensity (1/1): Exploration expenditures are substantial relative to the company's size, reflecting ongoing investment in resource growth and project pipeline advancement.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Fortuna's purpose centers on responsible precious metals mining — legitimate but not strongly mission-driven in the IOWN framework. The company positions sustainability as a core pillar but the fundamental business is resource extraction for commodity markets, lacking the 'beyond profit' dimension that defines strong missions. CEO Jorge Ganoza has led since co-founding in 2004, providing 22 years of strategic consistency, but the articulated purpose does not extend beyond responsible mining excellence [5]. Community Impact (1/2): Fortuna was named among Corporate Knights' Global 100 Most Sustainable Corporations in 2018 and has published eight annual Sustainability Reports [3]. All operating mines are ISO 14001 (environmental) and ISO 45001 (safety) certified. Social investment programs support local employment in West Africa and Latin America. However, mining in developing countries inherently carries community impact risks. Employee Retention (1/2): Executive team rated 'A' on Comparably, with employees most satisfied with executive leadership and compensation [5]. The company implemented a Korn Ferry-based talent management model in 2020, showing organizational maturity. Employee count of ~4,960 across multiple continents suggests meaningful operational scale. Insider Buying (1/2): CEO Jorge Ganoza's 22-year tenure as co-founder provides significant alignment through founder equity, though specific recent insider buying data was not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 every financial metric scores at or near the maximum target, reflecting the exceptional profitability environment for gold miners at $5,400/oz [4]. D/E of 11% is far below the 70% target (score 1.0), reflecting Fortuna's conservative balance sheet with $675.8M cash against only $209.4M debt — net cash of $466.4M or $1.54/share [4]. ROE of 21.96% exceeds the 15% target. Revenue growth is exceptional at approximately 30% TTM YoY and 27.7% 5-year CAGR, driven by production growth plus gold price appreciation [4]. Forward P/E of 5.89 is far below the 20 target, and the implied PEG ratio at these growth rates is approximately 0.2 — scoring perfectly. Profit margin of 31.06% substantially exceeds the 20% target [4]. The stock clears the liquidity floor with estimated daily trading value exceeding $30M at $11.90 × ~3M shares. Note: these metrics are significantly enhanced by record gold prices and may normalize if gold prices decline.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Fortuna demonstrates moderate infinite game characteristics through Jorge Ganoza's 22-year leadership continuity, responsible mining practices (ISO-certified operations, Corporate Knights recognition), and strategic evolution from silver to gold-dominant production [3][5]. The company plays a long game in mining development, where projects take years to permit and build. However, mining is inherently a finite-resource business — each mine has a limited life, and the company must continuously find and develop replacement deposits. The Roxgold acquisition and Diamba Sud development show strategic vision, but the underlying business model of extracting depletable resources limits the infinite game dimension.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Fortuna's cause — responsible precious metals mining to create value for stakeholders — is functional but lacks the inspirational, inclusive dimension of a strong just cause. The company mines gold and silver for commodity markets; while it does so responsibly (ISO certifications, sustainability reporting), the underlying purpose does not extend beyond resource extraction for profit. Community employment and social investment in mining regions are positive but secondary to the extraction mission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Fortuna's executive team is rated 'A' on Comparably with employees most satisfied with executive leadership and compensation structure [5]. The implementation of a Korn Ferry-based competency talent management model in 2020 demonstrates organizational investment in people development. Operating across three continents with ~4,960 employees requires significant organizational trust and decentralized decision-making. CEO Ganoza's 22-year tenure provides leadership stability that supports institutional trust. However, mining operations in Cote d'Ivoire, Senegal, and Latin America face inherent labor and community relations challenges that require constant trust maintenance.</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Fortuna competes in the mid-tier gold mining space against companies like Endeavour Mining, B2Gold, and IAMGOLD, using their operational best practices as benchmarks rather than engaging in destructive competition. The renaming from Fortuna Silver Mines to Fortuna Mining Corp. reflects learning from the industry's evolution toward gold-dominant production. The company focuses on operational excellence and jurisdictional diversification rather than aggressive hostile M&amp;A.</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Fortuna has demonstrated meaningful strategic flexibility — transforming from a Latin American silver producer into a global gold miner through the Roxgold acquisition (2021), adding the Seguela mine in West Africa and fundamentally changing the company's production profile and geographic exposure [1]. The rebranding from Fortuna Silver Mines to Fortuna Mining Corp. acknowledges this evolution. The Diamba Sud development in Senegal and planned 60% production increase represent continued willingness to evolve. However, the business remains anchored to precious metals mining — there is no evidence of diversification into adjacent industries or business model innovation.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Roxgold acquisition was a bold strategic move that transformed Fortuna's production profile and geographic reach, requiring significant capital commitment and integration risk in a new continent (West Africa) [1]. The decision to pursue the Diamba Sud development in Senegal — a new country with emerging mining infrastructure — shows willingness to accept execution risk for growth. However, these decisions were made in a rising gold price environment that reduced financial risk, and Fortuna's conservative balance sheet (D/E 11%, $675M cash) suggests risk management takes priority over bold bets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Fortuna Mining at 5.89x forward earnings offers exceptional value exposure to the gold bull market — Q1 2026 revenue surged 76% to a record $342.5M with net income up 241% to $111M, driven by gold prices at $5,400/oz and strong operational execution across three mines [1]. H1 2026 free cash flow of $259.7M and adjusted EBITDA of $419.6M demonstrate the earnings leverage gold miners capture at elevated prices [2]. The balance sheet is fortress-quality with D/E of 11%, $675.8M cash, and net cash of $466.4M ($1.54/share) [4]. Infrastructure scores a perfect 10 as every financial metric exceeds IOWN targets: ROE 21.96%, profit margin 31%, revenue growth 30% TTM, forward PE 5.89. The planned 60% production increase over 24 months through Seguela expansion and Diamba Sud provides visible organic growth independent of gold price direction.</w:t>
      </w:r>
    </w:p>
    <w:p>
      <w:pPr>
        <w:spacing w:after="120"/>
      </w:pPr>
      <w:r>
        <w:rPr>
          <w:rFonts w:ascii="Calibri" w:hAnsi="Calibri"/>
          <w:b w:val="0"/>
          <w:color w:val="3A4A28"/>
          <w:sz w:val="20"/>
        </w:rPr>
        <w:t>The primary risk is extreme gold price sensitivity — Fortuna's record profitability is overwhelmingly driven by $5,400/oz gold rather than operational improvements alone. A reversion to $1,800-2,000/oz (the 2019-2022 average range) would compress margins by 50-60% and reduce the forward PE advantage, potentially triggering a 60-70% share price decline as both earnings and multiple compress simultaneously. The Inspire Impact Score of 0 (MIXED) with no attributions reflects limited ESG data coverage despite Fortuna's strong sustainability practices (ISO 14001/45001 certified, Corporate Knights Global 100 recognition) [3]. Mining in Cote d'Ivoire and Senegal carries sovereign, security, and community relations risk that could disrupt operations. The inspiration score of 4 reflects the inherent limitation of resource extraction as a mission-driven business. With no dividend, investors receive returns solely through share price appreciation, concentrating outcome risk. Fortuna is a high-quality cyclical gold miner that deserves a HOLD at current valuations but is fundamentally a commodity price bet.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Gold prices at $5,400/oz driving record revenue ($342.5M Q1, +76% YoY) and earnings ($111M Q1, +241% YoY) with forward PE compressing to 5.89x — substantial re-rating potential if gold sustains or increases [1][4]</w:t>
      </w:r>
    </w:p>
    <w:p>
      <w:pPr>
        <w:spacing w:before="40" w:after="40"/>
        <w:ind w:left="283"/>
      </w:pPr>
      <w:r>
        <w:rPr>
          <w:rFonts w:ascii="Calibri" w:hAnsi="Calibri"/>
          <w:b/>
          <w:color w:val="4A6B25"/>
          <w:sz w:val="20"/>
        </w:rPr>
        <w:t xml:space="preserve">2. </w:t>
      </w:r>
      <w:r>
        <w:rPr>
          <w:rFonts w:ascii="Calibri" w:hAnsi="Calibri"/>
          <w:b w:val="0"/>
          <w:color w:val="3A4A28"/>
          <w:sz w:val="20"/>
        </w:rPr>
        <w:t>Planned 60% gold production increase over 24 months through Seguela mine expansion and Diamba Sud development in Senegal, providing organic volume growth independent of gold prices [1]</w:t>
      </w:r>
    </w:p>
    <w:p>
      <w:pPr>
        <w:spacing w:before="40" w:after="40"/>
        <w:ind w:left="283"/>
      </w:pPr>
      <w:r>
        <w:rPr>
          <w:rFonts w:ascii="Calibri" w:hAnsi="Calibri"/>
          <w:b/>
          <w:color w:val="4A6B25"/>
          <w:sz w:val="20"/>
        </w:rPr>
        <w:t xml:space="preserve">3. </w:t>
      </w:r>
      <w:r>
        <w:rPr>
          <w:rFonts w:ascii="Calibri" w:hAnsi="Calibri"/>
          <w:b w:val="0"/>
          <w:color w:val="3A4A28"/>
          <w:sz w:val="20"/>
        </w:rPr>
        <w:t>Fortress balance sheet with $675.8M cash, net cash of $466.4M ($1.54/share), and D/E of 11% provides capital for growth, potential dividends, or share buybacks as free cash flow accelerates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gold price sensitivity — the record profitability is primarily a function of $5,400/oz gold, and a reversion to historical averages ($1,800-2,000/oz) would compress margins by 50-60%, reduce EPS proportionally, and likely trigger significant share price decline [4]</w:t>
      </w:r>
    </w:p>
    <w:p>
      <w:pPr>
        <w:spacing w:before="40" w:after="40"/>
        <w:ind w:left="283"/>
      </w:pPr>
      <w:r>
        <w:rPr>
          <w:rFonts w:ascii="Calibri" w:hAnsi="Calibri"/>
          <w:b/>
          <w:color w:val="4A6B25"/>
          <w:sz w:val="20"/>
        </w:rPr>
        <w:t xml:space="preserve">2. </w:t>
      </w:r>
      <w:r>
        <w:rPr>
          <w:rFonts w:ascii="Calibri" w:hAnsi="Calibri"/>
          <w:b w:val="0"/>
          <w:color w:val="3A4A28"/>
          <w:sz w:val="20"/>
        </w:rPr>
        <w:t>Sovereign and operational risk in West Africa — mining operations in Cote d'Ivoire and development in Senegal expose Fortuna to political instability, regulatory changes, community relations challenges, and security risks that could disrupt production [1]</w:t>
      </w:r>
    </w:p>
    <w:p>
      <w:pPr>
        <w:spacing w:before="40" w:after="40"/>
        <w:ind w:left="283"/>
      </w:pPr>
      <w:r>
        <w:rPr>
          <w:rFonts w:ascii="Calibri" w:hAnsi="Calibri"/>
          <w:b/>
          <w:color w:val="4A6B25"/>
          <w:sz w:val="20"/>
        </w:rPr>
        <w:t xml:space="preserve">3. </w:t>
      </w:r>
      <w:r>
        <w:rPr>
          <w:rFonts w:ascii="Calibri" w:hAnsi="Calibri"/>
          <w:b w:val="0"/>
          <w:color w:val="3A4A28"/>
          <w:sz w:val="20"/>
        </w:rPr>
        <w:t>No dividend policy despite substantial free cash flow ($259.7M in H1 2026 alone) means investors receive returns exclusively through share price appreciation, concentrating outcome risk in a cyclical commodity business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Precious metals mining faces low direct AI disruption risk — the physical extraction of gold from underground and open-pit mines requires heavy equipment, geological expertise, and extensive regulatory compliance that AI cannot replace [1]. Mine permitting in West Africa and Latin America involves sovereign government relationships, community engagement, and environmental compliance that require human judgment. However, AI-powered geological analysis could help competitors identify and develop deposits more efficiently, and AI-optimized processing could improve rival miners' recovery rates and cost positions. The commodity nature of gold means Fortuna competes primarily on cost and production volume, areas where AI-driven operational efficiency could create competitive advantages for early adopters. AI Opportunity (1/1): While Fortuna does not generate AI revenue directly, AI-driven mine optimization (ore sorting, predictive maintenance, autonomous haulage) represents a significant efficiency opportunity that could reduce all-in sustaining costs and improve margins. The industry is moving toward AI adoption and Fortuna's scale positions it to benefit from vendor-driven AI solutions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Fortuna Mining Q1 2026 Earnings — Record Revenue $342.5M (+76% YoY), Net Income $111M (+241%), 60% Production Growth Plan, Investing.com Earnings Transcript, May 2026</w:t>
      </w:r>
    </w:p>
    <w:p>
      <w:pPr>
        <w:spacing w:before="20" w:after="20"/>
        <w:ind w:left="170"/>
      </w:pPr>
      <w:r>
        <w:rPr>
          <w:rFonts w:ascii="Calibri" w:hAnsi="Calibri"/>
          <w:b/>
          <w:color w:val="4A6B25"/>
          <w:sz w:val="15"/>
        </w:rPr>
        <w:t xml:space="preserve">2. </w:t>
      </w:r>
      <w:r>
        <w:rPr>
          <w:rFonts w:ascii="Calibri" w:hAnsi="Calibri"/>
          <w:b w:val="0"/>
          <w:color w:val="3A4A28"/>
          <w:sz w:val="17"/>
        </w:rPr>
        <w:t>Fortuna Mining H1 2026 Financial Results — Net Income $203.7M, Adjusted EBITDA $419.6M, Free Cash Flow $259.7M, SEC Form 6-K, StockTitan, August 2026</w:t>
      </w:r>
    </w:p>
    <w:p>
      <w:pPr>
        <w:spacing w:before="20" w:after="20"/>
        <w:ind w:left="170"/>
      </w:pPr>
      <w:r>
        <w:rPr>
          <w:rFonts w:ascii="Calibri" w:hAnsi="Calibri"/>
          <w:b/>
          <w:color w:val="4A6B25"/>
          <w:sz w:val="15"/>
        </w:rPr>
        <w:t xml:space="preserve">3. </w:t>
      </w:r>
      <w:r>
        <w:rPr>
          <w:rFonts w:ascii="Calibri" w:hAnsi="Calibri"/>
          <w:b w:val="0"/>
          <w:color w:val="3A4A28"/>
          <w:sz w:val="17"/>
        </w:rPr>
        <w:t>Fortuna Mining 2025 Sustainability Report — ISO 14001/45001 Certified Operations, Corporate Knights Global 100 (2018), ESG Governance, TipRanks, May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 FSM Key Statistics: Stock Price $11.90, PE 8.97, Forward PE 5.89, ROE 21.96%, D/E 11%, Profit Margin 31.06%, Market Cap $2.85B,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Fortuna Mining Comparably Culture Rating — Executive Team Rated 'A', CEO Jorge Ganoza (Co-Founded 2004), Korn Ferry Talent Model,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