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HLN</w:t>
      </w:r>
      <w:r>
        <w:rPr>
          <w:rFonts w:ascii="Calibri" w:hAnsi="Calibri"/>
          <w:b/>
          <w:color w:val="1A2010"/>
          <w:sz w:val="40"/>
        </w:rPr>
        <w:t xml:space="preserve">  Haleon plc</w:t>
      </w:r>
    </w:p>
    <w:p>
      <w:pPr>
        <w:spacing w:after="120"/>
      </w:pPr>
      <w:r>
        <w:rPr>
          <w:rFonts w:ascii="Calibri" w:hAnsi="Calibri"/>
          <w:b/>
          <w:color w:val="6E8450"/>
          <w:sz w:val="18"/>
        </w:rPr>
        <w:t>GROWTH SLEEVE · 2026-08-22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55</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Drug Manufacturers - Specialty &amp; Generic · NYSE · United Kingdom</w:t>
      </w:r>
    </w:p>
    <w:p>
      <w:pPr>
        <w:spacing w:after="80"/>
      </w:pPr>
      <w:r>
        <w:rPr>
          <w:rFonts w:ascii="Calibri" w:hAnsi="Calibri"/>
          <w:b w:val="0"/>
          <w:color w:val="3A4A28"/>
          <w:sz w:val="20"/>
        </w:rPr>
        <w:t>Haleon is the world's largest pure-play consumer healthcare company, spun off from GSK in July 2022. The company markets leading brands across oral health (Sensodyne, parodontax), OTC pain relief (Advil, Voltaren), vitamins/minerals/supplements (Centrum, Caltrate), respiratory health (Theraflu, Robitussin), and digestive health (Tums, ENO). H1 2026 reported revenue increased 2.2% to GBP 5,602M with organic growth of 2.6%, accelerating to 3.1% in Q2 from 2.2% in Q1. Adjusted operating profit grew 8.2% at constant currency with 140bps of gross margin expansion. FY2026 guidance targets 3-5% organic revenue growth and high-single-digit adjusted operating profit growth. The company serves 1.4 billion consumers across 170+ markets.</w:t>
      </w:r>
    </w:p>
    <w:p>
      <w:r>
        <w:rPr>
          <w:rFonts w:ascii="Calibri" w:hAnsi="Calibri"/>
          <w:b/>
          <w:color w:val="6E8450"/>
          <w:sz w:val="18"/>
        </w:rPr>
        <w:t>24,535 Employees · https://www.haleon.com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Haleon successfully established itself as an independent public company following the July 2022 GSK spin-off, building standalone capabilities and launching the 'Win as One' strategy in May 2025 aiming to reach one billion additional consumers by 2030 [1]. The recent reorganization into six operating units with new C-suite positions (Chief Growth Officer, Chief Transformation Officer) represents meaningful structural evolution. However, the brand portfolio was inherited rather than organically created, and no transformative new product categories have launched since independence. AI Deployment (1/2): Haleon announced a landmark five-year collaboration with Microsoft to scale digital, data, and AI capabilities across the business, deploying Copilot across consumer insights, R&amp;D, supply chain, and commercial operations [2]. Previously compressed consumer insights generation from 6 months to 6 weeks using AI. Enterprise-wide AI upskilling programs are underway. These are internal efficiency gains rather than AI products sold to consumers. Market Share (2/2): Global #1 position in therapeutic oral health through Sensodyne and parodontax, with strong category positions in OTC pain relief (Advil, Voltaren) and vitamins/minerals/supplements (Centrum) [1]. These are durable, trust-driven positions in categories where brand switching costs are high and regulatory barriers protect established players. Product Pipeline (1/2): Sensodyne Clinical Platform and brand line extensions show incremental innovation. The 'Win as One' strategy targets 2.4 billion total consumers by 2030, but specific next-generation products with named launch dates are not publicly disclosed [1]. R&amp;D Intensity (0/1): R&amp;D spending is typical for consumer healthcare, which invests materially less than pharmaceutical companies. No evidence of above-average intensity relative to peers like Reckitt or J&amp;J Consumer.</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Haleon's purpose of 'delivering better everyday health with humanity' is clear, identifies the company's domain, and connects business outcomes to broader societal benefit [3]. Core values 'Go Beyond, Do What Matters Most, Keep It Real' guide decisions. It is more specific than generic corporate statements but does not articulate a transformative vision. Four years of independence is insufficient to validate whether the purpose shapes difficult strategic trade-offs. Community Impact (1/2): MSCI AA ESG rating, Sustainalytics recognition, and ISS Prime status demonstrate externally validated ESG performance [3]. In 2025, Haleon empowered over 74 million people in health inclusion opportunities, exceeding its 50-million-person annual ambition. Environmental and Social Sustainability Committee operates at board level. However, as a four-year-old independent entity, community impact programs are still maturing. Employee Retention (0/2): With 24,535 employees and only four years of independent operations, no specific retention, tenure, or satisfaction data is publicly available to assess workforce engagement. The organizational restructuring into six units introduces change management complexity. Insider Buying (0/2): Insider ownership is approximately 0.014% — extremely low. No notable insider buying activity was identified in recent filings.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Growth sleeve metrics. D/E of 52% is conservatively leveraged (GBP 11.62B debt against equity), well below the 300% floor and scoring 1.0 [4]. Forward P/E of 16.55x reflects reasonable valuation for a defensive consumer healthcare franchise. ROE of 10.27% remains below the 15% target (score 0.685 at 2x weight), reflecting the goodwill-heavy balance sheet inherited from the GSK spin-off rather than operating inefficiency [4]. Profit margin of 15.11% is solid for the sector (score 0.756). H1 2026 reported revenue growth of 2.2% scores 0.74, with Q2 accelerating to 3.1% organic growth suggesting improving trajectory [1]. Adjusted operating profit grew 8.2% at constant currency with 140bps of gross margin expansion, and adjusted diluted EPS increased 12.0% to 10.3p. Estimated 5-year revenue CAGR of approximately 3% scores 0.53 at 2x weight, reflecting the low-single-digit organic growth profile. PEG of approximately 2.1 (based on high-single-digit earnings growth) scores 0.45 at 2x weight. Free cash flow of GBP 769M in H1 provides strong dividend coverage. Liquidity floor easily cleared with substantial daily ADR volume.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Haleon's infinite game assessment is constrained by its youth as an independent company. Spun off from GSK in July 2022, the company has only four years of independent strategic decisions to evaluate. The 'Win as One' strategy launched in May 2025 — targeting one billion additional consumers by 2030 — provides an aspirational direction, and the five-year Microsoft AI collaboration signals long-term investment in capabilities. However, the current focus on margin expansion, share buybacks, and organic growth optimization reflects competent finite-game execution rather than the visionary, cause-driven leadership that defines infinite players. The brand heritage stretches back centuries (Sensodyne since 1961, Centrum since 1978), but the corporate entity has not been tested through crisis.</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'Better everyday health with humanity' is a genuine purpose that connects the business to consumer wellbeing and is more specific than generic corporate missions [3]. The 'Win as One' strategy targeting 2.4 billion total consumers by 2030 adds scale to the ambition. However, Haleon has existed independently for only four years, providing limited evidence of the cause shaping difficult strategic decisions. The purpose has not been tested through crisis, competitive threat, or the temptation to prioritize short-term earnings over long-term mission adherence.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CEO Brian McNamara led the consumer healthcare division within GSK before the spin-off, providing leadership continuity [2]. The 'Win as One' strategy and reorganization into six operating units with regional presidents on the executive leadership team suggest intentional culture-building. New appointments including Chief Growth Officer and Chief Transformation Officer show investment in organizational capability. However, four years is insufficient to assess whether a trusting, psychologically safe culture has been established at scale across 24,535 employees, and the ongoing reorganization introduces change management risk.</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Haleon competes against formidable rivals — Procter &amp; Gamble, Johnson &amp; Johnson, Reckitt Benckiser, and Colgate-Palmolive — and demonstrates a learning-oriented competitive posture [1]. The company focuses on category leadership through brand building and product innovation rather than aggressive price competition or market share warfare. Management's emphasis on organic growth through innovation and the 'Win as One' strategy suggests the company views rivals as motivation to improve rather than enemies to defeat.</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The GSK spin-off was the defining strategic event in Haleon's history, but it was driven by GSK's portfolio strategy rather than Haleon's own flexibility [1]. Since independence, the operating model reorganization into six regional units and the five-year Microsoft AI collaboration are meaningful investments but represent incremental organizational evolution rather than transformative strategic reinvention. No evidence of the company making bold, costly pivots in service of its cause. The company is too young to have faced the existential test Sinek describes.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five-year Microsoft AI collaboration represents a meaningful long-term investment in digital capabilities beyond immediate quarterly returns [2]. The 'Win as One' organizational restructuring — creating new C-suite roles and regional operating units — shows willingness to disrupt internal structures. CEO McNamara's commitment to enterprise-wide AI upskilling demonstrates forward-thinking leadership. However, no evidence of costly long-term bets, principled sacrifices, or decisions that clearly prioritized the cause over short-term financial performance. The strategic moves to date have been competent but conventional for a large consumer healthcare company.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Haleon at 16.55x forward earnings offers a defensive consumer healthcare franchise with global #1 positions in therapeutic oral health (Sensodyne) and strong brands across OTC pain relief (Advil, Voltaren) and vitamins (Centrum) [1][4]. H1 2026 demonstrated improving momentum: Q2 organic revenue growth accelerated to 3.1% from Q1's 2.2%, gross margin expanded 140bps, adjusted operating profit grew 8.2% at constant currency, and adjusted EPS increased 12.0% [1]. The five-year Microsoft AI collaboration positions Haleon to drive ongoing productivity gains across consumer insights, R&amp;D, supply chain, and commercial operations [2]. The 'Win as One' strategy targeting one billion additional consumers by 2030 provides a clear growth framework. The conservative 52% D/E and GBP 769M H1 free cash flow support both the 1.92% dividend yield and share buyback programs. AI resilience is exceptionally strong — physical consumer health products with regulatory moats and brand trust face virtually no AI substitution risk.</w:t>
      </w:r>
    </w:p>
    <w:p>
      <w:pPr>
        <w:spacing w:after="120"/>
      </w:pPr>
      <w:r>
        <w:rPr>
          <w:rFonts w:ascii="Calibri" w:hAnsi="Calibri"/>
          <w:b w:val="0"/>
          <w:color w:val="3A4A28"/>
          <w:sz w:val="20"/>
        </w:rPr>
        <w:t>The bear case centers on tepid organic growth and limited corporate track record. H1 2026 organic revenue growth of 2.6% — while improving sequentially — remains at the low end of the 3-5% FY2026 guidance range, and the medium-term 4-6% organic growth target reflects a low-single-digit grower trading at 16.55x earnings [1]. ROE of 10.27% is below the 15% target, reflecting the goodwill-heavy balance sheet inherited from GSK rather than efficient capital deployment [4]. With only four years of independence, Haleon lacks a proven track record of navigating economic downturns, competitive disruptions, or leadership transitions as a standalone entity. The Zantac litigation cloud — while Haleon has rejected indemnification claims as inapplicable since it never marketed Zantac in the US or Canada — creates legal tail risk if GSK or Pfizer settlement frameworks are challenged [3]. Private label competition in OTC healthcare is intensifying as retailers develop higher-quality alternatives. The Inspire Impact Score of 0 (MIXED) with no attributions reflects insufficient coverage of this UK-domiciled company by the Inspire framework.</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Q2 2026 organic growth acceleration to 3.1% suggests improving brand momentum — sustaining growth toward the upper end of 3-5% FY2026 guidance would demonstrate the 'Win as One' strategy is gaining traction and could re-rate the 16.55x forward P/E multiple [1]</w:t>
      </w:r>
    </w:p>
    <w:p>
      <w:pPr>
        <w:spacing w:before="40" w:after="40"/>
        <w:ind w:left="283"/>
      </w:pPr>
      <w:r>
        <w:rPr>
          <w:rFonts w:ascii="Calibri" w:hAnsi="Calibri"/>
          <w:b/>
          <w:color w:val="4A6B25"/>
          <w:sz w:val="20"/>
        </w:rPr>
        <w:t xml:space="preserve">2. </w:t>
      </w:r>
      <w:r>
        <w:rPr>
          <w:rFonts w:ascii="Calibri" w:hAnsi="Calibri"/>
          <w:b w:val="0"/>
          <w:color w:val="3A4A28"/>
          <w:sz w:val="20"/>
        </w:rPr>
        <w:t>Five-year Microsoft AI collaboration deploying Copilot and AI capabilities across consumer insights, R&amp;D, supply chain, and commercial operations — expected to drive continued margin expansion beyond the H1 2026 140bps gross margin improvement [2]</w:t>
      </w:r>
    </w:p>
    <w:p>
      <w:pPr>
        <w:spacing w:before="40" w:after="40"/>
        <w:ind w:left="283"/>
      </w:pPr>
      <w:r>
        <w:rPr>
          <w:rFonts w:ascii="Calibri" w:hAnsi="Calibri"/>
          <w:b/>
          <w:color w:val="4A6B25"/>
          <w:sz w:val="20"/>
        </w:rPr>
        <w:t xml:space="preserve">3. </w:t>
      </w:r>
      <w:r>
        <w:rPr>
          <w:rFonts w:ascii="Calibri" w:hAnsi="Calibri"/>
          <w:b w:val="0"/>
          <w:color w:val="3A4A28"/>
          <w:sz w:val="20"/>
        </w:rPr>
        <w:t>Emerging markets organic growth providing structural tailwind as rising middle-class healthcare spending in Asia, Latin America, and Africa drives demand for trusted consumer health brands, supporting the target of reaching 2.4 billion consumers by 2030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Low-single-digit organic revenue growth profile (H1 2026: 2.6%) limits the upside case — at 16.55x forward earnings, the stock prices in execution but offers minimal re-rating potential unless growth sustainably exceeds the 4-6% medium-term guidance [1]</w:t>
      </w:r>
    </w:p>
    <w:p>
      <w:pPr>
        <w:spacing w:before="40" w:after="40"/>
        <w:ind w:left="283"/>
      </w:pPr>
      <w:r>
        <w:rPr>
          <w:rFonts w:ascii="Calibri" w:hAnsi="Calibri"/>
          <w:b/>
          <w:color w:val="4A6B25"/>
          <w:sz w:val="20"/>
        </w:rPr>
        <w:t xml:space="preserve">2. </w:t>
      </w:r>
      <w:r>
        <w:rPr>
          <w:rFonts w:ascii="Calibri" w:hAnsi="Calibri"/>
          <w:b w:val="0"/>
          <w:color w:val="3A4A28"/>
          <w:sz w:val="20"/>
        </w:rPr>
        <w:t>Zantac litigation tail risk — while Haleon has rejected indemnification claims as inapplicable (never marketed Zantac in US or Canada), the legal complexity of the GSK spin-off SAPA agreement creates residual uncertainty if settlement frameworks are challenged [3]</w:t>
      </w:r>
    </w:p>
    <w:p>
      <w:pPr>
        <w:spacing w:before="40" w:after="40"/>
        <w:ind w:left="283"/>
      </w:pPr>
      <w:r>
        <w:rPr>
          <w:rFonts w:ascii="Calibri" w:hAnsi="Calibri"/>
          <w:b/>
          <w:color w:val="4A6B25"/>
          <w:sz w:val="20"/>
        </w:rPr>
        <w:t xml:space="preserve">3. </w:t>
      </w:r>
      <w:r>
        <w:rPr>
          <w:rFonts w:ascii="Calibri" w:hAnsi="Calibri"/>
          <w:b w:val="0"/>
          <w:color w:val="3A4A28"/>
          <w:sz w:val="20"/>
        </w:rPr>
        <w:t>Limited track record as an independent company — only four years since the GSK spin-off — means Haleon has not been tested through a recession, major product recall, or competitive disruption, creating uncertainty about management's crisis-response capability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Haleon's consumer healthcare business is structurally immune to AI disruption. The company manufactures and distributes physical products — toothpaste, pain relievers, vitamins, cold/flu remedies — that require regulatory approval, manufacturing infrastructure, supply chain logistics, and decades of brand trust that AI cannot replicate or substitute [1]. Sensodyne's therapeutic oral health positioning, Advil's pain relief efficacy, and Centrum's nutritional formulations are grounded in clinical evidence and physical product delivery. Consumer trust in healthcare brands creates high switching costs that digital alternatives cannot erode. The Zantac litigation legacy (which Haleon has rejected as inapplicable since it never marketed Zantac in the US or Canada) poses legal rather than AI-related risk [3]. AI Opportunity (0/1): Haleon's five-year Microsoft collaboration will deploy AI across consumer insights, R&amp;D, supply chain, and commercial operations using Copilot and other AI tools [2]. These generate internal efficiency gains — not AI-derived revenue streams. H1 2026 gross margin expansion of 140bps may partly reflect AI-driven productivity, but no specific AI revenue contribution exists.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Haleon H1 2026 Results — Reported Revenue GBP 5,602M (+2.2%), Organic Growth 2.6% (Q2 +3.1%), Adjusted Operating Profit +8.2% CC, Gross Margin +140bps, Adjusted EPS +12.0%, FCF GBP 769M, FY2026 Guidance 3-5% Organic Growth, July 2026</w:t>
      </w:r>
    </w:p>
    <w:p>
      <w:pPr>
        <w:spacing w:before="20" w:after="20"/>
        <w:ind w:left="170"/>
      </w:pPr>
      <w:r>
        <w:rPr>
          <w:rFonts w:ascii="Calibri" w:hAnsi="Calibri"/>
          <w:b/>
          <w:color w:val="4A6B25"/>
          <w:sz w:val="15"/>
        </w:rPr>
        <w:t xml:space="preserve">2. </w:t>
      </w:r>
      <w:r>
        <w:rPr>
          <w:rFonts w:ascii="Calibri" w:hAnsi="Calibri"/>
          <w:b w:val="0"/>
          <w:color w:val="3A4A28"/>
          <w:sz w:val="17"/>
        </w:rPr>
        <w:t>Haleon Five-Year Microsoft AI Collaboration and 'Win as One' Strategy — Copilot Deployment, AI Across Consumer Insights/R&amp;D/Supply Chain, Reorganization into 6 Operating Units, Chief Growth Officer and Chief Transformation Officer Appointments, 2025-2026</w:t>
      </w:r>
    </w:p>
    <w:p>
      <w:pPr>
        <w:spacing w:before="20" w:after="20"/>
        <w:ind w:left="170"/>
      </w:pPr>
      <w:r>
        <w:rPr>
          <w:rFonts w:ascii="Calibri" w:hAnsi="Calibri"/>
          <w:b/>
          <w:color w:val="4A6B25"/>
          <w:sz w:val="15"/>
        </w:rPr>
        <w:t xml:space="preserve">3. </w:t>
      </w:r>
      <w:r>
        <w:rPr>
          <w:rFonts w:ascii="Calibri" w:hAnsi="Calibri"/>
          <w:b w:val="0"/>
          <w:color w:val="3A4A28"/>
          <w:sz w:val="17"/>
        </w:rPr>
        <w:t>Haleon ESG Performance and Zantac Litigation — MSCI AA Rating, Sustainalytics/ISS Prime Recognition, 74M People Empowered, Zantac Indemnification Claims Rejected — SEC Filings, haleon.com, 2025-2026</w:t>
      </w:r>
    </w:p>
    <w:p>
      <w:pPr>
        <w:spacing w:before="20" w:after="20"/>
        <w:ind w:left="170"/>
      </w:pPr>
      <w:r>
        <w:rPr>
          <w:rFonts w:ascii="Calibri" w:hAnsi="Calibri"/>
          <w:b/>
          <w:color w:val="4A6B25"/>
          <w:sz w:val="15"/>
        </w:rPr>
        <w:t xml:space="preserve">4. </w:t>
      </w:r>
      <w:r>
        <w:rPr>
          <w:rFonts w:ascii="Calibri" w:hAnsi="Calibri"/>
          <w:b w:val="0"/>
          <w:color w:val="3A4A28"/>
          <w:sz w:val="17"/>
        </w:rPr>
        <w:t>StockAnalysis, Yahoo Finance, Morningstar — HLN Key Statistics: Forward P/E 16.55x, ROE 10.27%, D/E 52%, Profit Margin 15.11%, Stock Price ~$9.38,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