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INR</w:t>
      </w:r>
      <w:r>
        <w:rPr>
          <w:rFonts w:ascii="Calibri" w:hAnsi="Calibri"/>
          <w:b/>
          <w:color w:val="1A2010"/>
          <w:sz w:val="40"/>
        </w:rPr>
        <w:t xml:space="preserve">  Infinity Natural Resources, Inc.</w:t>
      </w:r>
    </w:p>
    <w:p>
      <w:pPr>
        <w:spacing w:after="120"/>
      </w:pPr>
      <w:r>
        <w:rPr>
          <w:rFonts w:ascii="Calibri" w:hAnsi="Calibri"/>
          <w:b/>
          <w:color w:val="6E8450"/>
          <w:sz w:val="18"/>
        </w:rPr>
        <w:t>GROWTH SLEEVE · 2026-10-10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NYQ · United States</w:t>
      </w:r>
    </w:p>
    <w:p>
      <w:pPr>
        <w:spacing w:after="80"/>
      </w:pPr>
      <w:r>
        <w:rPr>
          <w:rFonts w:ascii="Calibri" w:hAnsi="Calibri"/>
          <w:b w:val="0"/>
          <w:color w:val="3A4A28"/>
          <w:sz w:val="20"/>
        </w:rPr>
        <w:t>Infinity Natural Resources is an independent oil and gas exploration and production company focused on the Appalachian Basin. The company holds interests in the Utica Shale Oil (~64,000 net surface acres in Ohio) and the Marcellus/Utica Deep Dry Gas (~34,000 net acres in Pennsylvania). INR dramatically scaled production through the Antero Acquisition (241 producing wells), growing net daily production 75% to 348.5 MMcfe/d in Q2 2026. Founded in 2017 and headquartered in Morgantown, West Virginia.</w:t>
      </w:r>
    </w:p>
    <w:p>
      <w:r>
        <w:rPr>
          <w:rFonts w:ascii="Calibri" w:hAnsi="Calibri"/>
          <w:b/>
          <w:color w:val="6E8450"/>
          <w:sz w:val="18"/>
        </w:rPr>
        <w:t>101 Employees · https://infinitynaturalresources.com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Infinity Natural Resources executed the Antero Acquisition, adding 241 producing wells that drove 75% production growth to 348.5 MMcfe/d in Q2 2026 [1]. While this demonstrates dealmaking capability, it is acquisition-driven volume scaling rather than product innovation or business model transformation — the company produces the same hydrocarbons from the same Appalachian basin formations. AI Deployment (0/2): No evidence of AI-powered products, digital solutions, or quantified AI-driven cost savings in drilling, completion, or production operations [2]. Market Share (0/2): Infinity is a small participant in the Appalachian basin (101 employees, $522M total revenue) with no category leadership or share differentiation versus larger Utica/Marcellus operators like EQT, Southwestern Energy, or Range Resources [2]. Product Pipeline (0/2): Standard shale development activities with no announced next-generation technologies, enhanced recovery methods, or specific innovation pipeline with timelines [2]. R&amp;D Intensity (0/1): E&amp;P companies of this size do not typically invest in R&amp;D; no R&amp;D spending data available.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Infinity Natural Resources describes itself as focused on the acquisition, exploration, and development of properties to produce hydrocarbons, which is a functional business description rather than a purposeful mission, but the company's commitment to Appalachian basin operations and community connection provides slightly more identity than pure financial extraction [2]. Community Impact (0/2): No evidence of charitable programs, foundation activities, or community investment beyond standard regulatory compliance for drilling operations in West Virginia and Ohio [3]. Employee Retention (0/2): With only 101 employees, the December 2025 resignation of CFO David Sproule and subsequent appointment of Cary Baetz as EVP and CFO in August 2026 suggests leadership instability at a critical post-IPO period [2]. No retention or tenure data available. Insider Buying (0/2): CEO Zack Arnold's compensation rose more than 20% while earnings declined more than 20% according to Simply Wall St analysis, a misalignment that signals finite-minded leadership rather than conviction buying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INR's financial profile is exceptionally strong on valuation and balance sheet metrics: D/E of 37.3% is well below the 70% target (score 1.0), ROE of 19.3% exceeds the 15% target (score 1.0, 2x weight), and revenue growth of 129.6% YoY far surpasses the 10% target (score 1.0), driven by the Antero Acquisition adding 241 producing wells [1]. Forward P/E of 4.04 is deeply discounted versus the 20 target (score 1.0), and the PEG ratio of 0.13 is extraordinarily low versus the 1.0 target (score 1.0, 2x weight) [1]. The primary weakness is profit margin of 11.5%, scoring 0.58 below the 20% target. Revenue Growth 5yr CAGR is excluded as unavailable. Weighted sum of 7.58 on max of 8.0 yields score of 9. Daily dollar volume of $3.8M clears the $1M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Infinity Natural Resources operates with a purely finite mindset oriented toward production growth, acquisition volume, and shareholder returns. The company has no articulated Just Cause, no evidence of courageous leadership prioritizing long-term capability over near-term earnings, and leadership instability with the CFO departure in December 2025 and CEO compensation rising while earnings declined. At 101 employees, the organization is too small to meaningfully assess Sinek's Circle of Safety, and the company's competitive strategy is solely focused on resource acquisition and production volume.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Infinity Natural Resources exists to acquire, explore, and develop hydrocarbon properties for financial returns. There is no articulated vision of a future state, no purpose beyond maximizing production and shareholder value, and no evidence that leadership references a higher purpose in strategic decisions [2]. The company's communications focus exclusively on production volumes (348.5 MMcfe/d), acquisition metrics (241 wells), and financial results — the language of a finite player optimizing for this quarter.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101 employees, the organization is small enough that interpersonal trust can function informally. CEO Zack Arnold has led since 2017, providing leadership continuity [2]. However, CFO David Sproule's resignation in December 2025 (replaced by Cary Baetz in August 2026) suggests potential leadership friction, and the addition of two new board members (Scott McNeill, Timothy Dugan) within months signals governance restructuring. The small team size prevents meaningful assessment of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Infinity's competitive strategy is pure resource aggregation — acquiring acreage and wells to grow production volume [2]. No management commentary references learning from rival operators' strengths or using competitive pressure for self-improvement. The competitive frame is territorial (controlling Appalachian basin acreage) rather than aspirational.</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Infinity Natural Resources has operated the same shale E&amp;P business model since founding in 2017. The Antero Acquisition represents scale expansion within the existing model, not strategic reinvention [1][2]. No evidence of business model evolution, technology pivots, or willingness to move beyond hydrocarbon extraction. The company is too young and too narrowly focused to have faced an existential flexibility test.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CEO Arnold's compensation rose over 20% while earnings declined more than 20%, per Simply Wall St analysis, signaling short-term personal optimization over long-term alignment [2]. The Antero Acquisition required taking on $524M in net debt, which shows appetite for bold dealmaking, but leveraged acquisitions to grow production are standard practice in E&amp;P, not courageous departures from convention. No evidence of leadership sacrificing near-term results for long-term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INR at $13.34 trades at an exceptionally low valuation — 4.0x forward earnings with a PEG of 0.13 — reflecting the market's deep skepticism toward small-cap E&amp;P companies despite genuine production growth. Q2 2026 net daily production grew 75% to 348.5 MMcfe/d driven by the Antero Acquisition's 241 producing wells, Q2 revenue rose ~130% YoY to $171M, and the balance sheet is manageable at D/E of 37% with $900.9M in total liquidity against $524.1M net debt [1]. The Utica Shale Oil and Marcellus/Utica Dry Gas positions provide multi-decade reserve life in proven formations, and the structural demand for natural gas from AI data center power generation and LNG exports creates a supportive commodity backdrop.</w:t>
      </w:r>
    </w:p>
    <w:p>
      <w:pPr>
        <w:spacing w:after="120"/>
      </w:pPr>
      <w:r>
        <w:rPr>
          <w:rFonts w:ascii="Calibri" w:hAnsi="Calibri"/>
          <w:b w:val="0"/>
          <w:color w:val="3A4A28"/>
          <w:sz w:val="20"/>
        </w:rPr>
        <w:t>The bear case is straightforward: production growth has come entirely through debt-funded acquisitions, not organic innovation, and EPS declined 25.7% YoY to $0.88 in Q2 2026 despite 130% revenue growth, indicating that volume gains are being offset by commodity price volatility, higher operating costs from integrating acquired assets, and increased share dilution [1]. With 101 employees managing a rapidly expanded asset base (241 newly acquired wells), execution and integration risk is significant. CFO David Sproule's resignation in December 2025 creates financial leadership uncertainty at a critical growth period, and CEO compensation rising while earnings fell raises governance concerns [2]. The stock is thinly traded at $3.8M daily dollar volume, barely above the $1M liquidity floor, which limits institutional participation and creates exit risk for any concentrated position. Commodity price exposure to natural gas remains unhedged and uncontrollable.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Integration and optimization of 241 Antero Acquisition wells — full operational control could unlock cost synergies and production efficiency gains from the expanded Utica/Marcellus footprint as the company moves from acquisition to optimization mode [1]</w:t>
      </w:r>
    </w:p>
    <w:p>
      <w:pPr>
        <w:spacing w:before="40" w:after="40"/>
        <w:ind w:left="283"/>
      </w:pPr>
      <w:r>
        <w:rPr>
          <w:rFonts w:ascii="Calibri" w:hAnsi="Calibri"/>
          <w:b/>
          <w:color w:val="4A6B25"/>
          <w:sz w:val="20"/>
        </w:rPr>
        <w:t xml:space="preserve">2. </w:t>
      </w:r>
      <w:r>
        <w:rPr>
          <w:rFonts w:ascii="Calibri" w:hAnsi="Calibri"/>
          <w:b w:val="0"/>
          <w:color w:val="3A4A28"/>
          <w:sz w:val="20"/>
        </w:rPr>
        <w:t>Natural gas demand tailwind from AI data center power generation — gas-fired power plants are the primary source of incremental electricity generation, and structural AI compute expansion supports multi-year natural gas demand growth [1]</w:t>
      </w:r>
    </w:p>
    <w:p>
      <w:pPr>
        <w:spacing w:before="40" w:after="40"/>
        <w:ind w:left="283"/>
      </w:pPr>
      <w:r>
        <w:rPr>
          <w:rFonts w:ascii="Calibri" w:hAnsi="Calibri"/>
          <w:b/>
          <w:color w:val="4A6B25"/>
          <w:sz w:val="20"/>
        </w:rPr>
        <w:t xml:space="preserve">3. </w:t>
      </w:r>
      <w:r>
        <w:rPr>
          <w:rFonts w:ascii="Calibri" w:hAnsi="Calibri"/>
          <w:b w:val="0"/>
          <w:color w:val="3A4A28"/>
          <w:sz w:val="20"/>
        </w:rPr>
        <w:t>Extreme valuation discount at 4.0x forward earnings and 0.13 PEG creates asymmetric upside potential if the company successfully integrates acquired assets and demonstrates sustainable earnings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EPS declining 25.7% YoY despite 130% revenue growth reveals that acquisition-driven volume gains are being diluted by higher costs, commodity price headwinds, and share dilution — profitable growth is unproven [1]</w:t>
      </w:r>
    </w:p>
    <w:p>
      <w:pPr>
        <w:spacing w:before="40" w:after="40"/>
        <w:ind w:left="283"/>
      </w:pPr>
      <w:r>
        <w:rPr>
          <w:rFonts w:ascii="Calibri" w:hAnsi="Calibri"/>
          <w:b/>
          <w:color w:val="4A6B25"/>
          <w:sz w:val="20"/>
        </w:rPr>
        <w:t xml:space="preserve">2. </w:t>
      </w:r>
      <w:r>
        <w:rPr>
          <w:rFonts w:ascii="Calibri" w:hAnsi="Calibri"/>
          <w:b w:val="0"/>
          <w:color w:val="3A4A28"/>
          <w:sz w:val="20"/>
        </w:rPr>
        <w:t>Leadership instability with CFO resignation (December 2025), CEO compensation misaligned with shareholder outcomes (pay up 20%+ while earnings down 20%+), and two new board members added within months signals governance uncertainty [2]</w:t>
      </w:r>
    </w:p>
    <w:p>
      <w:pPr>
        <w:spacing w:before="40" w:after="40"/>
        <w:ind w:left="283"/>
      </w:pPr>
      <w:r>
        <w:rPr>
          <w:rFonts w:ascii="Calibri" w:hAnsi="Calibri"/>
          <w:b/>
          <w:color w:val="4A6B25"/>
          <w:sz w:val="20"/>
        </w:rPr>
        <w:t xml:space="preserve">3. </w:t>
      </w:r>
      <w:r>
        <w:rPr>
          <w:rFonts w:ascii="Calibri" w:hAnsi="Calibri"/>
          <w:b w:val="0"/>
          <w:color w:val="3A4A28"/>
          <w:sz w:val="20"/>
        </w:rPr>
        <w:t>Thin daily dollar volume of $3.8M barely above the $1M liquidity floor limits institutional ownership, creates adverse selection risk, and makes position sizing difficult for any meaningful capital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Oil and gas exploration and production involves physical-world operations — drilling wells, hydraulic fracturing, pipeline management, and hydrocarbon extraction — that AI structurally cannot displace [2]. The process of extracting natural gas and oil from Utica and Marcellus shale formations requires heavy capital equipment, geological expertise, and on-site field operations that are immune to AI substitution. Natural gas demand may actually benefit from AI indirectly, as AI data centers require massive electricity generation and natural gas-fired power plants are a primary source of baseload and peaking power. The one limiter preventing a perfect IMMUNE score is that AI could improve competitors' operational efficiency (optimizing drilling locations, reducing downtime) faster than INR adopts similar tools. AI Opportunity (0/1): No evidence of AI-generated revenue. INR is a traditional E&amp;P operator with no AI products, services, or quantified AI-driven operational improvements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Infinity Natural Resources Q2 2026 Earnings Release — Net Production 348.5 MMcfe/d (+75% YoY), Net Income $108.0M ($0.88/share diluted vs $1.18 prior year), Q1 Revenue +79% YoY, Net Debt $524.1M, Liquidity $900.9M — SEC Form 8-K/10-Q, Earnings Whispers, Barchart, 2026</w:t>
      </w:r>
    </w:p>
    <w:p>
      <w:pPr>
        <w:spacing w:before="20" w:after="20"/>
        <w:ind w:left="170"/>
      </w:pPr>
      <w:r>
        <w:rPr>
          <w:rFonts w:ascii="Calibri" w:hAnsi="Calibri"/>
          <w:b/>
          <w:color w:val="4A6B25"/>
          <w:sz w:val="15"/>
        </w:rPr>
        <w:t xml:space="preserve">2. </w:t>
      </w:r>
      <w:r>
        <w:rPr>
          <w:rFonts w:ascii="Calibri" w:hAnsi="Calibri"/>
          <w:b w:val="0"/>
          <w:color w:val="3A4A28"/>
          <w:sz w:val="17"/>
        </w:rPr>
        <w:t>INR Leadership and Governance — CEO Zack Arnold (since 2017), CFO David Sproule resigned December 2025 replaced by Cary Baetz (August 2026), Board additions Scott McNeill (April 2026) and Timothy Dugan (July 2026, ex-Olympus Energy CEO), CEO pay misalignment — Simply Wall St, BusinessWire, Barchart, 2026</w:t>
      </w:r>
    </w:p>
    <w:p>
      <w:pPr>
        <w:spacing w:before="20" w:after="20"/>
        <w:ind w:left="170"/>
      </w:pPr>
      <w:r>
        <w:rPr>
          <w:rFonts w:ascii="Calibri" w:hAnsi="Calibri"/>
          <w:b/>
          <w:color w:val="4A6B25"/>
          <w:sz w:val="15"/>
        </w:rPr>
        <w:t xml:space="preserve">3. </w:t>
      </w:r>
      <w:r>
        <w:rPr>
          <w:rFonts w:ascii="Calibri" w:hAnsi="Calibri"/>
          <w:b w:val="0"/>
          <w:color w:val="3A4A28"/>
          <w:sz w:val="17"/>
        </w:rPr>
        <w:t>INR ESG Profile — No ESG rating available from Sustainalytics, MSCI, or FactSet; no ESG controversies found; standard Appalachian basin E&amp;P regulatory compliance — Saxo Markets, MarketScreener,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