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KD</w:t>
      </w:r>
      <w:r>
        <w:rPr>
          <w:rFonts w:ascii="Calibri" w:hAnsi="Calibri"/>
          <w:b/>
          <w:color w:val="1A2010"/>
          <w:sz w:val="40"/>
        </w:rPr>
        <w:t xml:space="preserve">  Kyndryl Holdings, Inc.</w:t>
      </w:r>
    </w:p>
    <w:p>
      <w:pPr>
        <w:spacing w:after="120"/>
      </w:pPr>
      <w:r>
        <w:rPr>
          <w:rFonts w:ascii="Calibri" w:hAnsi="Calibri"/>
          <w:b/>
          <w:color w:val="6E8450"/>
          <w:sz w:val="18"/>
        </w:rPr>
        <w:t>GROWTH SLEEVE · 2026-08-26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Kyndryl Holdings, Inc. is the world's largest IT infrastructure services provider, spun off from IBM in November 2021. The company offers cloud, core enterprise, application/data/AI, digital workplace, security and resiliency, and network services across more than 60 countries under CEO Martin Schroeter. Fiscal Q1 2027 (quarter ended June 2026) revenue was roughly flat to slightly down YoY at $3.6-3.8B, with $14.2B in trailing-12-month signings and hyperscaler-related revenue up 48% to over $530M. The company is still working through a governance crisis that began in February 2026, when it disclosed material weaknesses in internal controls, an SEC inquiry, and the abrupt departures of its CFO, General Counsel, and Comptroller, triggering a 55% single-day stock decline and a securities fraud class action.</w:t>
      </w:r>
    </w:p>
    <w:p>
      <w:r>
        <w:rPr>
          <w:rFonts w:ascii="Calibri" w:hAnsi="Calibri"/>
          <w:b/>
          <w:color w:val="6E8450"/>
          <w:sz w:val="18"/>
        </w:rPr>
        <w:t>72,000 Employees · https://www.kyndryl.com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Kyndryl's foundational transformation was its November 2021 spinoff from IBM into an independent company, and it has since repositioned around agentic-AI-driven managed services and hyperscaler partnerships, with Kyndryl Consult revenue up 14% and hyperscaler-related revenue up 48% to over $530M in the most recent quarter [1]. AI Deployment (2/2): Kyndryl Bridge's AI-driven change-risk-prediction capability has reduced customer change failure rates by 60-90% with specific, quantified results, and the platform executes more than 180 million automated actions per month across managed IT environments [2]. Market Share (1/2): Kyndryl is the largest pure-play IT infrastructure services provider globally by scale, though it faces intense competition from Accenture, DXC, and others with no confirmed dominant share percentage. Pipeline (2/2): The AI-powered Digital Twin for the Workplace launched in April 2026 with a specific date and named capability set, and Kyndryl won the 2026 CIO 100 Award for AI innovation on Kyndryl Bridge [2]. R&amp;D Intensity (0/1): No R&amp;D-spend-as-percent-of-revenue data was identified, typical for a services-heavy IT infrastructure provider.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Kyndryl's operating culture, "The Kyndryl Way" (restless, empathetic, devoted, flat, fast, focused), is built around the explicit guiding principle that "everything begins with trust" — specific and thoughtfully articulated, but its credibility is directly undercut by the company's own 2026 disclosure of "tone at the top" material weaknesses in financial reporting [2][3]. Community Impact (2/2): Kyndryl received an EcoVadis gold rating, placing it in the top 5% of all participating organizations globally — a specific, verifiable third-party recognition [3]. Employee Retention (2/2): Kyndryl was named the #1 Most Loved Workplace globally for 2026, with 88% of employees reporting that manager behavior is consistent with The Kyndryl Way — strong, specific positive data [2]. Insider Buying (0/2): No evidence of net insider buying was identified; the governance crisis makes any buying/selling signal difficult to confirm from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5-year revenue CAGR and Forward PEG were both unavailable (Kyndryl has only traded independently since its November 2021 spinoff and does not carry a meaningful PEG in yfinance) and were excluded from the calculation. D/E of 422.45% is above the 300% floor and scores 0 — a heavily levered balance sheet inherited in part from the IBM spinoff structure [4]. ROE of 6.93% scores 0.46 at 2x weight, revenue growth YoY of -3.3% scores 0.56, Forward P/E of 5.23x scores at the cap (1.0), and profit margin of 0.58% scores just 0.03, reflecting a business still near breakeven with $152M in workforce rebalancing charges compressing the most recent quarter's profitability [1][4]. Liquidity clears the floor comfortably at roughly $56M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Kyndryl's 2021 spinoff from IBM and subsequent repositioning around AI-native managed services show real strategic adaptation, and its employee-facing culture metrics (#1 Most Loved Workplace, EcoVadis gold) are genuinely strong. But the February 2026 governance crisis — material weaknesses in internal controls explicitly citing "tone at the top" problems, an SEC inquiry, the abrupt departure of the CFO, General Counsel, and Comptroller, and a securities fraud class action alleging 18 months of misleading disclosures — is a direct contradiction of the company's own "everything begins with trust" principle. Sinek would see this as a fundamental failure of Courage to Lead and Trusting Teams at exactly the leadership level that should model the stated cause, regardless of how well the employee-level culture metrics otherwise score.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Kyndryl Way" explicitly centers on trust as the guiding principle, but the February 2026 disclosure of material weaknesses rooted in "tone at the top" issues and a securities fraud class action alleging 18 months of misleading financial disclosures directly contradict that stated cause at the leadership level, undermining its credibility as a genuine, lived purpose rather than marketing language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the #1 Most Loved Workplace recognition at the broader employee level, the abrupt simultaneous departures of the CFO, General Counsel, and Comptroller amid an SEC inquiry and disclosed "tone at the top" material weaknesses reveal a severe trust breakdown at the senior leadership level that overshadows employee-survey results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language toward rivals such as Accenture or DXC was identified in current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spinoff from IBM was itself a major existential transformation from a captive internal division to an independent company, and the subsequent pivot toward AI-native managed services and hyperscaler partnerships (48% revenue growth) shows continued, if incremental, adaptation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$152M in workforce rebalancing charges reflects cost-cutting rather than a principled long-term investment, and the governance crisis — culminating in a securities fraud class action alleging management misled investors about the state of financial reporting — is the opposite of the leadership courage Sinek describes; no evidence of a costly, principled long-term bet was identified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Kyndryl trades at a Forward P/E of just 5.23x, a valuation that reflects deep market skepticism following the February 2026 governance crisis, and the operational story underneath has real positives: $14.2B in trailing-12-month signings, hyperscaler-related revenue up 48% to over $530M, Kyndryl Consult up 14%, and U.S. revenue up 5% all point to a business successfully repositioning around AI-native managed services and hyperscaler partnerships [1]. Kyndryl Bridge's AI-driven change-risk prediction (60-90% reduction in change failure rates, 180M automated actions/month) is a genuinely differentiated technical capability, and the company's employee-facing culture credentials (#1 Most Loved Workplace 2026, EcoVadis gold ESG rating) are unusually strong for the sector [2][3]. If the governance remediation holds and revenue stabilizes, the current valuation offers meaningful re-rating potential.</w:t>
      </w:r>
    </w:p>
    <w:p>
      <w:pPr>
        <w:spacing w:after="120"/>
      </w:pPr>
      <w:r>
        <w:rPr>
          <w:rFonts w:ascii="Calibri" w:hAnsi="Calibri"/>
          <w:b w:val="0"/>
          <w:color w:val="3A4A28"/>
          <w:sz w:val="20"/>
        </w:rPr>
        <w:t>The bear case is dominated by the unresolved governance crisis. In February 2026, Kyndryl disclosed material weaknesses in internal controls spanning fiscal year 2025 and the first half of fiscal 2026, explicitly citing "information and communication" and "tone at the top" issues, alongside an SEC Division of Enforcement inquiry into its adjusted free cash flow disclosures — triggering a 55% single-day stock decline, the abrupt simultaneous departure of the CFO, General Counsel, and Comptroller, and a securities fraud class action alleging 18 months of misleading statements [3]. D/E of 422.45% is well above the 300% floor, scoring zero in the Infrastructure calculation, and profit margin of just 0.58% (further compressed by $152M in workforce rebalancing charges) shows a business still near breakeven [1][4]. Revenue declined 3.3% YoY on the headline figure, and the core managed-infrastructure business faces a structural tension: the same AI-driven automation Kyndryl is building into its own platform reduces the billable technician-labor hours its traditional pricing model depends on. Until permanent CFO and General Counsel appointments are finalized and the SEC inquiry resolves, the stock carries meaningful binary governance risk on top of ordinary IT-services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SEC Division of Enforcement inquiry and finalization of permanent CFO and General Counsel appointments, which would remove the binary governance overhang currently depressing the valuation to a 5.23x Forward P/E [3]</w:t>
      </w:r>
    </w:p>
    <w:p>
      <w:pPr>
        <w:spacing w:before="40" w:after="40"/>
        <w:ind w:left="283"/>
      </w:pPr>
      <w:r>
        <w:rPr>
          <w:rFonts w:ascii="Calibri" w:hAnsi="Calibri"/>
          <w:b/>
          <w:color w:val="4A6B25"/>
          <w:sz w:val="20"/>
        </w:rPr>
        <w:t xml:space="preserve">2. </w:t>
      </w:r>
      <w:r>
        <w:rPr>
          <w:rFonts w:ascii="Calibri" w:hAnsi="Calibri"/>
          <w:b w:val="0"/>
          <w:color w:val="3A4A28"/>
          <w:sz w:val="20"/>
        </w:rPr>
        <w:t>Continued scaling of hyperscaler-related revenue (already +48% YoY to over $530M) and Kyndryl Consult (+14%) as the company completes its repositioning around AI-native managed services rather than traditional headcount-billed infrastructure management [1]</w:t>
      </w:r>
    </w:p>
    <w:p>
      <w:pPr>
        <w:spacing w:before="40" w:after="40"/>
        <w:ind w:left="283"/>
      </w:pPr>
      <w:r>
        <w:rPr>
          <w:rFonts w:ascii="Calibri" w:hAnsi="Calibri"/>
          <w:b/>
          <w:color w:val="4A6B25"/>
          <w:sz w:val="20"/>
        </w:rPr>
        <w:t xml:space="preserve">3. </w:t>
      </w:r>
      <w:r>
        <w:rPr>
          <w:rFonts w:ascii="Calibri" w:hAnsi="Calibri"/>
          <w:b w:val="0"/>
          <w:color w:val="3A4A28"/>
          <w:sz w:val="20"/>
        </w:rPr>
        <w:t>Stabilization of total revenue from the current roughly flat-to-declining trend as the $14.2B trailing-12-month signings base converts into recognized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Unresolved SEC inquiry and pending securities fraud class action alleging 18 months of misleading financial disclosures create meaningful binary legal and reputational risk beyond ordinary operating risk [3]</w:t>
      </w:r>
    </w:p>
    <w:p>
      <w:pPr>
        <w:spacing w:before="40" w:after="40"/>
        <w:ind w:left="283"/>
      </w:pPr>
      <w:r>
        <w:rPr>
          <w:rFonts w:ascii="Calibri" w:hAnsi="Calibri"/>
          <w:b/>
          <w:color w:val="4A6B25"/>
          <w:sz w:val="20"/>
        </w:rPr>
        <w:t xml:space="preserve">2. </w:t>
      </w:r>
      <w:r>
        <w:rPr>
          <w:rFonts w:ascii="Calibri" w:hAnsi="Calibri"/>
          <w:b w:val="0"/>
          <w:color w:val="3A4A28"/>
          <w:sz w:val="20"/>
        </w:rPr>
        <w:t>D/E of 422.45% leaves Kyndryl with limited balance-sheet flexibility to absorb further governance-related costs, legal settlements, or a prolonged revenue downturn [4]</w:t>
      </w:r>
    </w:p>
    <w:p>
      <w:pPr>
        <w:spacing w:before="40" w:after="40"/>
        <w:ind w:left="283"/>
      </w:pPr>
      <w:r>
        <w:rPr>
          <w:rFonts w:ascii="Calibri" w:hAnsi="Calibri"/>
          <w:b/>
          <w:color w:val="4A6B25"/>
          <w:sz w:val="20"/>
        </w:rPr>
        <w:t xml:space="preserve">3. </w:t>
      </w:r>
      <w:r>
        <w:rPr>
          <w:rFonts w:ascii="Calibri" w:hAnsi="Calibri"/>
          <w:b w:val="0"/>
          <w:color w:val="3A4A28"/>
          <w:sz w:val="20"/>
        </w:rPr>
        <w:t>Structural tension between Kyndryl's AI-driven automation investments (which improve service quality) and its traditional headcount-based billing model for managed infrastructure services, which the same automation directly erodes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Kyndryl's core managed-infrastructure services business bills substantially on human technician labor, and agentic AI automation directly threatens that headcount-based delivery model over time — the same automation capabilities Kyndryl is building into Kyndryl Bridge (180M automated actions/month, 60-90% reduction in change failure rates) reduce the billable labor hours the business has traditionally monetized, a real structural tension [2]. Kyndryl is actively repositioning around hyperscaler partnerships and AI-native service delivery, evidenced by 48% growth in hyperscaler-related revenue, which provides a genuine counter-trend, but the transition is not yet complete enough to call the core business protected. AI Opportunity (1/1): Hyperscaler-related revenue grew 48% YoY to over $530M in the most recent quarter, and Kyndryl Bridge's AI-driven capabilities are directly monetized through managed-services contracts — specific, quantified AI-linked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Kyndryl fiscal Q1 2027 earnings (quarter ended June 2026) — revenue $3.6-3.8B (roughly flat/-3% YoY), $14.2B TTM signings, hyperscaler-related revenue +48% to $530M+, Kyndryl Consult +14%, US revenue +5%, adjusted EBITDA $512M, $152M workforce rebalancing charges, Yahoo Finance/IndexBox, August 2026</w:t>
      </w:r>
    </w:p>
    <w:p>
      <w:pPr>
        <w:spacing w:before="20" w:after="20"/>
        <w:ind w:left="170"/>
      </w:pPr>
      <w:r>
        <w:rPr>
          <w:rFonts w:ascii="Calibri" w:hAnsi="Calibri"/>
          <w:b/>
          <w:color w:val="4A6B25"/>
          <w:sz w:val="15"/>
        </w:rPr>
        <w:t xml:space="preserve">2. </w:t>
      </w:r>
      <w:r>
        <w:rPr>
          <w:rFonts w:ascii="Calibri" w:hAnsi="Calibri"/>
          <w:b w:val="0"/>
          <w:color w:val="3A4A28"/>
          <w:sz w:val="17"/>
        </w:rPr>
        <w:t>Kyndryl governance crisis — material weaknesses in internal controls ("tone at the top") disclosed February 2026, SEC Division of Enforcement inquiry into adjusted free cash flow disclosures, CFO David Wyshner and General Counsel Edward Sebold departures (Feb 5, 2026), Comptroller Vineet Khurana departure, 55% single-day stock decline, securities fraud class action filed Feb 11 2026, CFO Dive/InvestmentNews/Hagens Berman, February 2026</w:t>
      </w:r>
    </w:p>
    <w:p>
      <w:pPr>
        <w:spacing w:before="20" w:after="20"/>
        <w:ind w:left="170"/>
      </w:pPr>
      <w:r>
        <w:rPr>
          <w:rFonts w:ascii="Calibri" w:hAnsi="Calibri"/>
          <w:b/>
          <w:color w:val="4A6B25"/>
          <w:sz w:val="15"/>
        </w:rPr>
        <w:t xml:space="preserve">3. </w:t>
      </w:r>
      <w:r>
        <w:rPr>
          <w:rFonts w:ascii="Calibri" w:hAnsi="Calibri"/>
          <w:b w:val="0"/>
          <w:color w:val="3A4A28"/>
          <w:sz w:val="17"/>
        </w:rPr>
        <w:t>Kyndryl AI strategy and culture — CEO Martin Schroeter, Kyndryl Bridge agentic AI (60-90% reduction in change failure rates, 180M automated actions/month), AI-powered Digital Twin for the Workplace (April 2026), 2026 CIO 100 AI Innovation Award, #1 Most Loved Workplace 2026, EcoVadis gold ESG rating, Kyndryl newsroom/HPCwire,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KD key statistics: stock price $13.02, forward P/E 5.23x, D/E 422.45%, ROE 6.93%, profit margin 0.58%, market cap $2.84B, avg daily volume 4.3M,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