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LIMN</w:t>
      </w:r>
      <w:r>
        <w:rPr>
          <w:rFonts w:ascii="Calibri" w:hAnsi="Calibri"/>
          <w:b/>
          <w:color w:val="1A2010"/>
          <w:sz w:val="40"/>
        </w:rPr>
        <w:t xml:space="preserve">  Liminatus Pharma, Inc.</w:t>
      </w:r>
    </w:p>
    <w:p>
      <w:pPr>
        <w:spacing w:after="120"/>
      </w:pPr>
      <w:r>
        <w:rPr>
          <w:rFonts w:ascii="Calibri" w:hAnsi="Calibri"/>
          <w:b/>
          <w:color w:val="6E8450"/>
          <w:sz w:val="18"/>
        </w:rPr>
        <w:t>GROWTH SLEEVE · 2026-10-09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Liminatus Pharma, Inc. is a pre-clinical stage biopharmaceutical company developing cancer therapies. Its lead candidate, IBA101, is a humanized anti-CD47 monoclonal antibody in Phase I clinical trial for advanced solid cancers including non-small cell lung cancer. The company has no revenue, a market capitalization of approximately $4.8M, and reported operating losses of ~$1.1M per quarter with only $1.9M cash on hand as of Q1 CY2026. Founded in 2018 and based in Cerritos, California.</w:t>
      </w:r>
    </w:p>
    <w:p>
      <w:r>
        <w:rPr>
          <w:rFonts w:ascii="Calibri" w:hAnsi="Calibri"/>
          <w:b/>
          <w:color w:val="6E8450"/>
          <w:sz w:val="18"/>
        </w:rPr>
        <w:t>1 Employees · https://liminatuspharma.com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Liminatus is a pre-clinical/early-clinical stage company with no successful product launches, market pivots, or business model transformations. The company has a single drug candidate (IBA101) that remains in Phase I trials with no commercial products or revenue [1]. AI Deployment (0/2): No evidence of AI deployment in drug discovery, clinical trial design, or any other business function. The company has one listed employee and no disclosed technology platform [2]. Market Share (0/2): No market presence — the company has zero revenue and no commercial products. The anti-CD47 antibody space is highly competitive with larger players (Gilead's magrolimab, Pfizer's candidates) significantly ahead in development [1]. Product Pipeline (1/2): IBA101 is a named compound in Phase I trials for advanced solid cancers, representing at least one specific pipeline candidate with an identifiable therapeutic target. However, the company's $1.9M cash position against $1.1M quarterly burn creates severe uncertainty about the pipeline's viability beyond 1-2 quarters [1]. R&amp;D Intensity (0/1): No data available on R&amp;D spending as a percentage of revenue (the company has no revenue), and the one-employee structure provides no basis for comparison to industry R&amp;D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Liminatus describes itself as focused on 'developing cancer therapies,' which is a generic statement of activity rather than a mission — it is interchangeable with hundreds of pre-clinical oncology companies and does not articulate a distinctive purpose or vision beyond treating cancer [2]. Community Impact (0/2): No evidence of charitable giving, community programs, or social investment. The company has one listed employee and a $4.8M market capitalization, leaving no resources for community engagement. Employee Retention (0/2): With one listed employee (the CEO), there is no meaningful workforce to evaluate on retention, tenure, or organizational culture [1]. The company structure provides no basis for assessing trust, empowerment, or mission alignment. Insider Buying (0/2): No evidence of insider buying transactions. Given the nano-cap size and limited public float, insider transaction data is unavailable from standard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most metrics unavailable or at floor values [1]. D/E of 479.9% exceeds the 300% floor (score 0.0), reflecting a heavily leveraged balance sheet relative to minimal equity. Profit margin of 0% is at the 0% floor (score 0.0) — the company generates zero revenue. ROE, Forward P/E, PEG, and revenue growth metrics are all unavailable (null), excluded from the weighted calculation. With only two metrics available (D/E and profit margin), both scoring 0.0, the infrastructure score is 0/10. The liquidity floor check passes marginally at $1.62M daily dollar volume (avg volume 453,281 x $3.57), though recent daily volume of ~19,600 shares ($70K) suggests the average may be inflated by sporadic high-volume sessions and true daily liquidity is far below the $1M threshold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Liminatus Pharma is a nano-cap pre-clinical biotech with no articulated purpose beyond developing its single drug candidate, no evidence of organizational culture or leadership philosophy, and no history of strategic adaptation or competitive learning. With one employee, $4.8M market cap, and $1.9M cash against $1.1M quarterly burn, the company is playing a survival game rather than an infinite game — its existence depends on securing additional financing before cash runs out, likely within 1-2 quarters.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 articulates no mission, purpose, or vision beyond 'developing cancer therapies,' which describes what it does rather than why it exists [2]. There is no evidence of a Just Cause that shapes strategic decisions, inspires sacrifice, or differentiates Liminatus from any other pre-clinical oncology company. The company exists to advance a single drug candidate,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one listed employee, there is no team to evaluate for trust, psychological safety, or organizational culture [1]. The company has no disclosed organizational structure, no reported employee programs, and no basis for assessing whether people feel safe to take risks, admit mistakes, or challenge leadership. The concept is not applicable at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the infinite game mindset of learning from rivals' strengths. The anti-CD47 space includes multiple larger competitors (Gilead, Pfizer, ALX Oncology), but Liminatus has not publicly discussed competitive dynamics or how competitors' advances inform its own development approach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Liminatus has pursued a single drug candidate (IBA101) since its founding in 2018 and has not demonstrated any strategic pivot or business model adaptation [1]. The company is too small and young to have faced the kind of strategic inflection point Sinek describes, and with $1.9M in cash, it has no resources to fund a pivot even if one were warranted.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The company's leadership has pursued a conventional pre-clinical biotech path — develop a drug candidate, file an IND, begin Phase I trials — without any identifiable instance of sacrificing short-term results for long-term capability or making a principled decision that cost money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Liminatus Pharma at $3.57 with a $4.8M market cap is a nano-cap pre-clinical biotech developing IBA101, a humanized anti-CD47 monoclonal antibody in Phase I trials for advanced solid cancers [1]. The anti-CD47 mechanism has legitimate scientific rationale as a macrophage checkpoint inhibitor, and the stock's nano-cap valuation means any positive clinical data could generate significant percentage returns. The company's only real catalyst is clinical trial data from the ongoing Phase I study, and the stock effectively functions as a binary bet on IBA101's efficacy and safety profile.</w:t>
      </w:r>
    </w:p>
    <w:p>
      <w:pPr>
        <w:spacing w:after="120"/>
      </w:pPr>
      <w:r>
        <w:rPr>
          <w:rFonts w:ascii="Calibri" w:hAnsi="Calibri"/>
          <w:b w:val="0"/>
          <w:color w:val="3A4A28"/>
          <w:sz w:val="20"/>
        </w:rPr>
        <w:t>The bear case is overwhelming. Liminatus has zero revenue, one listed employee, a $4.8M market cap, and only $1.9M cash against $1.1M quarterly operating losses — the company faces existential dilution or bankruptcy risk within 1-2 quarters without additional financing [1]. The anti-CD47 space is extremely competitive, with Gilead's magrolimab and multiple other candidates from well-funded pharmaceutical companies significantly further in development. D/E of 479.9% signals a capital structure dependent on continued equity issuance to survive. The stock's recent volume of ~19,600 shares/day (vs. average of 453K) suggests the average is inflated by sporadic trading, making actual daily liquidity approximately $70K — far too illiquid for meaningful position sizing. No analyst covers the stock, forward estimates are unavailable, and the company's S-1 filings reveal ongoing dilution risk through warrant exercises and capital raises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I clinical trial data readout for IBA101 in advanced solid cancers — any positive efficacy signal in non-small cell lung cancer could significantly rerate the stock from its nano-cap valuation [1]</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 for IBA101's anti-CD47 mechanism — larger pharmaceutical companies have shown interest in the CD47 target, and a partnership could provide non-dilutive funding and validation [1]</w:t>
      </w:r>
    </w:p>
    <w:p>
      <w:pPr>
        <w:spacing w:before="40" w:after="40"/>
        <w:ind w:left="283"/>
      </w:pPr>
      <w:r>
        <w:rPr>
          <w:rFonts w:ascii="Calibri" w:hAnsi="Calibri"/>
          <w:b/>
          <w:color w:val="4A6B25"/>
          <w:sz w:val="20"/>
        </w:rPr>
        <w:t xml:space="preserve">3. </w:t>
      </w:r>
      <w:r>
        <w:rPr>
          <w:rFonts w:ascii="Calibri" w:hAnsi="Calibri"/>
          <w:b w:val="0"/>
          <w:color w:val="3A4A28"/>
          <w:sz w:val="20"/>
        </w:rPr>
        <w:t>Additional financing — successful completion of a capital raise at favorable terms would extend the cash runway beyond the current 1-2 quarter survival window, though at the cost of significant shareholder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cash depletion — $1.9M cash against $1.1M quarterly burn rate gives approximately 1-2 quarters of runway, creating existential risk of bankruptcy or severely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Competitive obsolescence in the anti-CD47 space — larger competitors (Gilead, Pfizer, ALX Oncology) have more advanced clinical programs, deeper pipelines, and resources that a one-employee nano-cap cannot match [1]</w:t>
      </w:r>
    </w:p>
    <w:p>
      <w:pPr>
        <w:spacing w:before="40" w:after="40"/>
        <w:ind w:left="283"/>
      </w:pPr>
      <w:r>
        <w:rPr>
          <w:rFonts w:ascii="Calibri" w:hAnsi="Calibri"/>
          <w:b/>
          <w:color w:val="4A6B25"/>
          <w:sz w:val="20"/>
        </w:rPr>
        <w:t xml:space="preserve">3. </w:t>
      </w:r>
      <w:r>
        <w:rPr>
          <w:rFonts w:ascii="Calibri" w:hAnsi="Calibri"/>
          <w:b w:val="0"/>
          <w:color w:val="3A4A28"/>
          <w:sz w:val="20"/>
        </w:rPr>
        <w:t>Extreme illiquidity risk — recent daily trading volume of ~19,600 shares ($70K value) makes meaningful position entry or exit nearly impossible without significant market impact, and the $4.8M market cap is below institutional investment thresholds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Liminatus's core business — developing a monoclonal antibody through FDA-regulated clinical trials — is partially PROTECTED by the regulatory framework that requires physical clinical trials, biological manufacturing, and human safety data that AI cannot substitute [1]. FDA approval processes, GMP manufacturing requirements, and the physical nature of antibody therapeutics create meaningful barriers to AI displacement. However, AI-driven drug discovery platforms (e.g., Recursion, Isomorphic Labs, Insilico Medicine) are rapidly improving their ability to identify and optimize drug candidates computationally, which could make small pre-clinical biotechs like Liminatus less competitive in the race to develop novel therapeutics. The anti-CD47 target space is particularly crowded, and AI-enhanced competitors with greater resources could advance superior candidates faster. AI Opportunity (0/1): No evidence of AI-powered drug discovery tools, computational chemistry platforms, or any AI-related capabilities or revenue. The one-employee structure provides no basis for an AI technology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Liminatus Pharma SEC Filings — S-1 Registration Statement, 10-Q Q1 CY2026 ($1.9M cash, $1.1M quarterly operating loss, no revenue), IBA101 Phase I clinical trial — SEC EDGAR, 2025-2026</w:t>
      </w:r>
    </w:p>
    <w:p>
      <w:pPr>
        <w:spacing w:before="20" w:after="20"/>
        <w:ind w:left="170"/>
      </w:pPr>
      <w:r>
        <w:rPr>
          <w:rFonts w:ascii="Calibri" w:hAnsi="Calibri"/>
          <w:b/>
          <w:color w:val="4A6B25"/>
          <w:sz w:val="15"/>
        </w:rPr>
        <w:t xml:space="preserve">2. </w:t>
      </w:r>
      <w:r>
        <w:rPr>
          <w:rFonts w:ascii="Calibri" w:hAnsi="Calibri"/>
          <w:b w:val="0"/>
          <w:color w:val="3A4A28"/>
          <w:sz w:val="17"/>
        </w:rPr>
        <w:t>Liminatus Pharma Company Profile — Pre-clinical biopharmaceutical, CEO Chris Kim, 1 employee, IBA101 anti-CD47 antibody — DataInsightsReports, Gurufocus, yfinance,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