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MCFT</w:t>
      </w:r>
      <w:r>
        <w:rPr>
          <w:rFonts w:ascii="Calibri" w:hAnsi="Calibri"/>
          <w:b/>
          <w:color w:val="1A2010"/>
          <w:sz w:val="40"/>
        </w:rPr>
        <w:t xml:space="preserve">  MasterCraft Boat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66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Recreational Vehicles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Premium recreational boat maker (MasterCraft, Crest, NauticStar, Balise) with the 2025 Marine Products transaction expanding the portfolio.</w:t>
      </w:r>
    </w:p>
    <w:p>
      <w:r>
        <w:rPr>
          <w:rFonts w:ascii="Calibri" w:hAnsi="Calibri"/>
          <w:b/>
          <w:color w:val="6E8450"/>
          <w:sz w:val="18"/>
        </w:rPr>
        <w:t>https://www.mastercraft.com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2: the Marine Products transaction lifted FY2026 sales 22.8% to $348.9M (11.0% ex-transaction) [1]. AI 1: AI-driven SurfStar presets ship on current models [2]. Market share 1: leading premium wake boat brand without cited share data. Pipeline 2: redesigned X24 and 2026 lineup named [2]. R&amp;D 0: intensity not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the 'Making Boating Better' purpose is clear but not distinctive [3]. Community programs, retention and insider buying were not evidenced; Glassdoor shows a mixed picture, which is not scored [2]. Scored 0 on adds.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Calculated: ROE -0.6% scores 0 (2x); revenue growth 63.4% scores 1.0; forward P/E 9.6 scores 1.0; profit margin -0.5% scores 0. D/E, PEG and 5yr CAGR unavailable. Weighted 2.0/5 gives 4. Liquidity about $4.0M daily passes the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Well-run cyclical manufacturer with a product-focused culture, but purpose is a brand slogan and strategy follows the cycle and consolidation.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'Making Boating Better' is brand-level purpose without a larger idealistic cause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succession in 2024 was orderly; Glassdoor sentiment is mixed with some leadership concerns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framing is share and dealer-network oriented; no explicit worthy-rival language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Portfolio expansion into Crest, NauticStar, Balise and Marine Products is meaningful but within boating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Brad Nelson's push for discipline and the Marine Products deal show some willingness to act through a downturn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FY2026 net sales were $348.9M (+22.8%), adjusted EBITDA $45.6M (+$21.2M) and adjusted EPS $1.76 vs $0.92, with Q4 revenue of $129.9M beating estimates [1]. At 9.6x forward earnings and a 63% revenue surge, a boating recovery plus Marine Products synergies could re-rate the stock.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GAAP profit margin is still slightly negative (-0.5%) and ROE is -0.6%, so earnings quality depends on adjustments. Discretionary boating is rate-sensitive and larger rivals discount aggressively [2]. Q3 growth slowed to 3%, and the stock sits below its 50-day average ($19.71 vs $22.81).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Marine Products integration synergies and cost savings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Interest-rate cuts reviving boat demand and dealer restocking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model launches such as the redesigned X24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high borrowing costs suppressing discretionary boat demand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Discounting from larger volume producers pressuring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Integration risk and negative GAAP earnings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Physical boat manufacturing is immune to AI substitution; risks are rates, consumer demand, and discounting by larger producers, not AI [2]. No AI revenue beyond product features, so the tiebreaker is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MasterCraft Boat Holdings Reports Fiscal 2026 Results, Business Wire,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MasterCraft 2026 lineup and leadership disclosures; Glassdoor reviews,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MasterCraft Sustainability Report and investor materials,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via yfinance, MCFT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