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MXCT</w:t>
      </w:r>
      <w:r>
        <w:rPr>
          <w:rFonts w:ascii="Calibri" w:hAnsi="Calibri"/>
          <w:b/>
          <w:color w:val="1A2010"/>
          <w:sz w:val="40"/>
        </w:rPr>
        <w:t xml:space="preserve">  MaxCyte, Inc.</w:t>
      </w:r>
    </w:p>
    <w:p>
      <w:pPr>
        <w:spacing w:after="120"/>
      </w:pPr>
      <w:r>
        <w:rPr>
          <w:rFonts w:ascii="Calibri" w:hAnsi="Calibri"/>
          <w:b/>
          <w:color w:val="6E8450"/>
          <w:sz w:val="18"/>
        </w:rPr>
        <w:t>GROWTH SLEEVE · 2026-09-30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MaxCyte is a cell engineering company that provides Flow Electroporation technology and instruments enabling researchers and biopharmaceutical companies to transfect cells for drug discovery, development, and manufacturing of cell-based therapies including CAR-T, gene editing, and other advanced cell therapies. The company's ExPERT platform is used by over 150 cell therapy developers worldwide, and its Flow Electroporation technology was instrumental in developing CASGEVY, the first FDA-approved non-viral cell therapy. MaxCyte also offers SeQure DX gene editing services and Strategic Platform License (SPL) agreements. Q2 2026 revenue was $7.3M (-15% YoY) with FY2026 guidance of $30-32M. Headquartered in Gaithersburg, Maryland.</w:t>
      </w:r>
    </w:p>
    <w:p>
      <w:r>
        <w:rPr>
          <w:rFonts w:ascii="Calibri" w:hAnsi="Calibri"/>
          <w:b/>
          <w:color w:val="6E8450"/>
          <w:sz w:val="18"/>
        </w:rPr>
        <w:t>200 Employees · https://www.maxcyte.com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MaxCyte's Flow Electroporation technology was instrumental in developing CASGEVY (Vertex/CRISPR Therapeutics), the first FDA-approved non-viral cell therapy — a landmark achievement validating the platform's clinical utility [1][3]. The company also launched SeQure DX gene editing services, expanding from hardware into services. However, revenue declined 15% in Q2 2026 to $7.3M with H1 2026 total revenue of $16.9M (down 10% YoY), indicating commercial momentum has not followed the technology validation [1]. AI Deployment (0/2): No evidence of AI-powered products or quantified AI-driven savings. The company's value proposition is biological/physical, not computational [3]. Market Share (1/2): MaxCyte holds a meaningful position in the cell electroporation niche with 150+ biopharma customer relationships and proprietary Flow Electroporation technology, but faces competition from Lonza, Thermo Fisher, and other cell therapy infrastructure providers [3]. Pipeline (1/2): SeQure DX services expansion and SPL milestones expected in H2 2026. Established a Scientific Advisory Board of globally recognized cell engineering experts to guide development priorities [3]. FY2026 guidance assumes return to low single-digit YoY growth in H2 [1]. R&amp;D Intensity (1/1): As a biotech platform company with deeply negative operating margins, MaxCyte's R&amp;D spending significantly exceeds industry average relative to revenue, reflecting heavy investment in platform capabilities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MaxCyte's purpose centers on enabling cell engineering to advance life-saving cell therapies — a genuine healthcare mission connecting the company's technology to potentially curative treatments for cancer, sickle cell disease, and genetic disorders [3]. The mission is clear but not distinctively articulated compared to other cell therapy infrastructure companies. Community Impact (0/2): No evidence of significant charitable giving, foundation, or community investment programs was identified beyond the inherent healthcare value of enabling cell therapies. Employee Retention (0/2): Glassdoor reviews reveal concerning cultural deterioration — one review states 'terrible leadership post 2024, ruined the culture' and another cites 'too many restructuring rounds in the last 2 years' with uncertainty about what the culture is now [2]. CEO Maher Masoud was appointed January 2024 and leadership instability has impacted the organization. Insider Buying (0/2): The company announced a $10M share repurchase program, but this is a corporate buyback, not executive insider buying. No evidence of meaningful personal insider purchases by CEO or management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731,884 shares at stock price of $1.18 yields daily dollar volume of approximately $863,600, below the $1,000,000 liquidity threshold required for IOWN tradability [4]. Volume has increased significantly from ~31K at the previous screen but remains insufficient. Infrastructure score is automatically set to 0 regardless of underlying metrics. For reference, the balance sheet is clean with D/E of 10.87% and substantial cash reserves (previously reported at $103M against $17.9M debt), but operations are deeply unprofitable with ROE of -20.4%, profit margin of -114.8%, and revenue declining 14.5% YoY [4]. FY2026 guidance of $30-32M implies continued contraction from FY2025's $33M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MaxCyte operates in a purpose-rich space — enabling life-saving cell therapies — but as a small, struggling biotech with declining revenue, leadership instability, and cultural deterioration, it demonstrates finite game characteristics. The company's Just Cause is genuine (advancing cell engineering to cure disease) but its ability to execute is questioned by falling revenue, -115% margins, and Glassdoor reviews citing 'terrible leadership post 2024' and 'too many restructuring rounds.' CEO Masoud has been in the role since January 2024 and has not yet stabilized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MaxCyte's purpose of enabling cell engineering to advance cell therapies connects directly to a transformative healthcare vision — a future where cancers and genetic diseases are cured through engineered cells [3]. The company's technology was instrumental in creating CASGEVY, the first FDA-approved non-viral cell therapy for sickle cell disease, providing concrete validation that the cause is real [1]. However, the company has not demonstrated multi-decade consistency; it is still pre-profitability after 25 years and faces existential financial challenges.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organizational deterioration — 'terrible leadership post 2024, ruined the culture' and 'too many restructuring rounds in the last 2 years' with employees noting they're 'not sure what the culture is now' [2]. CEO Masoud was appointed January 2024, and the resulting leadership transition and organizational streamlining have created instability. While some recent reviews cite collaborative colleagues, the pattern of restructuring-induced uncertainty signals a low-trust environment where employees face job insecurity.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MaxCyte's competitive positioning focuses on proprietary advantages of Flow Electroporation versus rival technologies (viral vectors, lipid nanoparticles) rather than learning from competitors' strengths [3]. Investor messaging emphasizes technology superiority and market position rather than collaborative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MaxCyte has evolved from a pure instrument sales company to a more integrated cell therapy services platform through the launch of SeQure DX gene editing services and Strategic Platform License (SPL) agreements [1][3]. SPL revenue grew to $0.8M in Q2 2026 from $0.3M prior year, showing services gaining traction. This shift from hardware to services-plus-hardware represents meaningful business model evolution. However, the transformation is incremental rather than transformative — the core electroporation technology remains the foundation.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MaxCyte faces declining revenue (Q2 2026 down 15% YoY, full-year guidance of $30-32M implies contraction) and deeply negative margins (-115%), yet there is limited evidence of courageous long-term investment decisions [1]. The $10M share repurchase program is modest capital allocation. CEO Masoud has been in the role since January 2024 and organizational streamlining (likely including layoffs) during revenue decline does not represent the kind of costly long-term bet that demonstrates Sinek's courage — it is survival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MaxCyte holds a unique position in the cell therapy infrastructure ecosystem — its Flow Electroporation technology was instrumental in creating CASGEVY, the first FDA-approved non-viral cell therapy, validating the platform's clinical-grade capabilities [1][3]. The company's 150+ biopharma customer relationships and proprietary technology create meaningful competitive moats. With a clean balance sheet (D/E 10.87% and substantial cash reserves), MaxCyte has approximately 2-3 years of runway at current burn rates, providing time for the cell therapy market to mature and for SPL milestones to convert to revenue. The Inspire Impact Score of 48 (ALIGNED) reflects genuine healthcare contributions. The stock at $1.18 prices the company at roughly 1x cash, suggesting the market assigns near-zero value to the technology platform.</w:t>
      </w:r>
    </w:p>
    <w:p>
      <w:pPr>
        <w:spacing w:after="120"/>
      </w:pPr>
      <w:r>
        <w:rPr>
          <w:rFonts w:ascii="Calibri" w:hAnsi="Calibri"/>
          <w:b w:val="0"/>
          <w:color w:val="3A4A28"/>
          <w:sz w:val="20"/>
        </w:rPr>
        <w:t>The bear case is severe: Q2 2026 revenue of $7.3M declined 15% YoY with core revenue down 21%, driven by reduced purchases from the largest customer [1]. FY2026 guidance of $30-32M implies further contraction from FY2025's $33M. The -114.8% profit margin means the company burns roughly $35-40M annually. The stock has declined 14.5% from $1.38 to $1.18 since the last screen, and daily dollar volume of ~$864K still falls below the $1M IOWN liquidity floor [4]. Glassdoor reviews cite 'terrible leadership post 2024' and 'too many restructuring rounds,' indicating organizational dysfunction [2]. MaxCyte needs a fundamental inflection in cell therapy demand that has not materialized despite the CASGEVY proof point. The negative forward P/E (-4.8x) confirms analysts expect continued losses. While the Inspire Impact Score provides faith-alignment, the investment fundamentals are deeply challenged.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Cell therapy market inflection driven by additional non-viral gene therapy FDA approvals using MaxCyte's electroporation technology, converting technology validation into commercial volume beyond CASGEVY [1][3]</w:t>
      </w:r>
    </w:p>
    <w:p>
      <w:pPr>
        <w:spacing w:before="40" w:after="40"/>
        <w:ind w:left="283"/>
      </w:pPr>
      <w:r>
        <w:rPr>
          <w:rFonts w:ascii="Calibri" w:hAnsi="Calibri"/>
          <w:b/>
          <w:color w:val="4A6B25"/>
          <w:sz w:val="20"/>
        </w:rPr>
        <w:t xml:space="preserve">2. </w:t>
      </w:r>
      <w:r>
        <w:rPr>
          <w:rFonts w:ascii="Calibri" w:hAnsi="Calibri"/>
          <w:b w:val="0"/>
          <w:color w:val="3A4A28"/>
          <w:sz w:val="20"/>
        </w:rPr>
        <w:t>SPL milestone revenue recognition from strategic partners advancing through clinical trials — SPL revenue grew to $0.8M in Q2 2026 from $0.3M prior year, with $5M full-year target concentrated in H2 2026 [1]</w:t>
      </w:r>
    </w:p>
    <w:p>
      <w:pPr>
        <w:spacing w:before="40" w:after="40"/>
        <w:ind w:left="283"/>
      </w:pPr>
      <w:r>
        <w:rPr>
          <w:rFonts w:ascii="Calibri" w:hAnsi="Calibri"/>
          <w:b/>
          <w:color w:val="4A6B25"/>
          <w:sz w:val="20"/>
        </w:rPr>
        <w:t xml:space="preserve">3. </w:t>
      </w:r>
      <w:r>
        <w:rPr>
          <w:rFonts w:ascii="Calibri" w:hAnsi="Calibri"/>
          <w:b w:val="0"/>
          <w:color w:val="3A4A28"/>
          <w:sz w:val="20"/>
        </w:rPr>
        <w:t>SeQure DX gene editing services gaining traction as biopharma companies outsource cell engineering, providing higher-margin recurring revenue beyond instrument sales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 structural decline — Q2 2026 core revenue down 21% YoY with largest customer reducing purchases, and FY2026 guidance of $30-32M implies contraction from 2025's $33M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2-3 years at current burn rates creates existential risk if cell therapy demand does not accelerate or capital markets remain closed to unprofitable biotechs [4]</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 Glassdoor reviews cite 'terrible leadership post 2024' and 'too many restructuring rounds,' signaling talent retention risk that could undermine the company's ability to execute its services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MaxCyte's core business — manufacturing and selling physical electroporation instruments for cell engineering — involves proprietary hardware and biological processes that AI structurally cannot replace [3]. The transfection of cells requires physical electrical pulses to create temporary pores in cell membranes, governed by physics and biology rather than data processing. FDA regulatory requirements for GMP manufacturing equipment create additional barriers to substitution. AI may enhance cell therapy development workflows (target identification, protocol optimization), but the physical electroporation step remains essential. The modest risk is that AI-designed alternative delivery mechanisms could eventually compete, but this is speculative and long-term. AI Opportunity (0/1): MaxCyte does not generate revenue from AI products or services. The company's value proposition is entirely biological/physical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MaxCyte Q2 2026 Financial Results — Total Revenue $7.3M (-15% YoY), Core Revenue $6.5M (-21%), SPL Revenue $0.8M, H1 2026 Revenue $16.9M (-10%); MaxCyte Investor Relations /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MaxCyte Reviews — 14 Reviews, Culture Concerns Post-2024, Leadership Transition Challenges, Restructuring Rounds; Glassdoor.com,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MaxCyte Company Overview — Flow Electroporation, CASGEVY Partnership, 150+ Customers, SeQure DX Services, CEO Maher Masoud; maxcyte.com,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MXCT Key Statistics: Stock Price $1.18, Forward P/E -4.81, D/E 10.87%, ROE -20.39%, Profit Margin -114.77%, Avg Volume 731K, Market Cap $122M;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