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OXM</w:t>
      </w:r>
      <w:r>
        <w:rPr>
          <w:rFonts w:ascii="Calibri" w:hAnsi="Calibri"/>
          <w:b/>
          <w:color w:val="1A2010"/>
          <w:sz w:val="40"/>
        </w:rPr>
        <w:t xml:space="preserve">  Oxford Industries,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2026-10-06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Apparel Manufacturing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Atlanta-based lifestyle apparel company owning Tommy Bahama, Lilly Pulitzer, Johnny Was and Duck Head, sold through owned retail, e-commerce, restaurants and wholesale.</w:t>
      </w:r>
    </w:p>
    <w:p>
      <w:r>
        <w:rPr>
          <w:rFonts w:ascii="Calibri" w:hAnsi="Calibri"/>
          <w:b/>
          <w:color w:val="6E8450"/>
          <w:sz w:val="18"/>
        </w:rPr>
        <w:t>https://www.oxfordinc.com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1/3: brand portfolio (Tommy Bahama, Lilly Pulitzer, Johnny Was) is mature and the last five years brought refreshes and Tommy Bahama restaurant/store formats rather than a transformative launch. AI 1/2: the 2026 10-K now references AI, and industry AI design tools are cited for faster iteration, but no quantified savings were found [2]. Share 1/2 as a mid-size lifestyle brand owner, pipeline 0/2 (no named next-gen launches), R&amp;D 0/1 (apparel, no R&amp;D line); FY2026 guide of $1.475-1.530B revenue implies modest growth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2/4: brands sell an aspirational island/coastal lifestyle with a clear purpose of delivering the best lifestyle brands, but it is not distinctive beyond the category [3]. Community 1/2: a Corporate Responsibility team formed at end of Fiscal 2022 and supplier code of conduct audits exist, but no dollar-denominated giving was found [4]. Retention 0/2 and insider buying 0/2: no retention data or net insider buying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mechanically (Dividend sleeve). D/E 92.8% scores 0.90, forward P/E 10.8 scores 1.0, revenue -2.2% YoY scores 0.59, ROE -1.2% and profit margin -0.5% both score 0, and 66 consecutive years paid (2x) scores 1.0; the remaining dividend metrics were unavailable and excluded. Weighted 4.49 of 7 gives 6. Liquidity floor clear: about $11M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Oxford is a durable but finite-minded brand operator: stable stewardship, but results hinge on quarterly brand performance and no overarching cause beyond lifestyle branding.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brand-lifestyle positioning is coherent but reads as marketing and interchangeable with apparel peers; strategic moves are driven by brand profitability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Tom Chubb describes a flat, teammate culture [5], but Glassdoor shows 3.0/5 with 43% recommending, so evidence is average.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learning-from-rivals language; competition framed around brand share and wholesale accounts.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from private-label manufacturing into owned lifestyle brands and direct-to-consumer, an incremental rather than transformative shift.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(1/2): divested non-core brands (Lanier Apparel, Southern Tide) to focus on lifestyle brands, though FY2026 guidance was cut when Lilly Pulitzer stayed under pressure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at a forward P/E of 10.8 and a $380M market cap, the market already prices a trough. Q2 FY2026 adjusted EPS of $1.34 beat the $1.30 estimate on $394.4M revenue, and guidance of $1.475-1.530B revenue with adjusted EPS $2.10-2.70 reflects improving Tommy Bahama [1]. A 66-year dividend record and D/E of 93% offer balance sheet resilience.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full-year sales and profit guidance was cut in Q2 as Lilly Pulitzer remained under pressure [1], trailing profit margin is -0.5% and ROE -1.2%, and revenue is forecast to grow only 1.7% annually. Shares trade at $25 versus a $33 50-day average, signaling eroding confidence, and discretionary apparel is cyclical with ultra-fast-fashion pressure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Tommy Bahama recovery delivering the margin improvement embedded in FY2026 adjusted EPS guide of $2.10-2.70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Lilly Pulitzer stabilization after the Q2 guidance cut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re-rating from 10.8x forward earnings if guidance is met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Lilly Pulitzer demand weakness driving further guidance cuts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Tariff and supply chain cost pressure on a sourced-apparel model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GAAP profitability (margin -0.5%) limiting dividend flexibility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6/9: physical stores, restaurants and brand equity protect the core, though fast-fashion digital competitors and AI-driven trend prediction compress product cycles [2]. Analysts have not flagged AI as a displacement threat to the brands. AI Opportunity 0/1: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Oxford Industries Form 8-K Q2 FY2026 earnings release and Yahoo Finance coverage,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Danelfin / Umbrex OXM AI and strategy profiles,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Oxford Industries mission and brand disclosures, oxfordinc.com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Oxford Industries Form 10-K and Sustainalytics ESG Risk Rating (20.1, medium), accessed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Oxford Industries careers page and Glassdoor,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