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SKIL</w:t>
      </w:r>
      <w:r>
        <w:rPr>
          <w:rFonts w:ascii="Calibri" w:hAnsi="Calibri"/>
          <w:b/>
          <w:color w:val="1A2010"/>
          <w:sz w:val="40"/>
        </w:rPr>
        <w:t xml:space="preserve">  Skillsoft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2026-10-06 · Inspire: 39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Education &amp; Training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Skillsoft provides corporate learning content and platforms through Talent Development Solutions ($404M) and Global Knowledge ($109M, down 13%). FY2026 revenue fell 3.4% to $513M with adjusted EBITDA of $110M (21% margin) and free cash flow of only $6M versus $12M, and the $51M market cap reflects heavy leverage.</w:t>
      </w:r>
    </w:p>
    <w:p>
      <w:r>
        <w:rPr>
          <w:rFonts w:ascii="Calibri" w:hAnsi="Calibri"/>
          <w:b/>
          <w:color w:val="6E8450"/>
          <w:sz w:val="18"/>
        </w:rPr>
        <w:t>https://www.skillsoft.com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1: AI skills platform and coaching rollout under new CEO Jeff Tarr [1][2]. AI 1: employees describe an AI-first culture but no quantified AI revenue or savings found [2]. Share 1: meaningful but not leading player in corporate learning; R&amp;D 1: near industry average; no named pipeline (0).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2: clear learning-for-workforce mission, not distinctive [1]. Glassdoor shows only 40% recommend, 2.8/5 culture and values, so retention scores 0 [2]; no insider buying or community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72,892 avg daily shares x $5.64 = about $411K, below $1M, so Infrastructure = 0. D/E and ROE unavailable.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Revenue declining, morale low and leadership turnover; operating for survival under leverage rather than a long-term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Purpose to democratize learning exists but reads as marketing and has not shaped consistent strategy through repeated leadership changes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Glassdoor: 40% recommend, 2.8/5 culture, morale described as at an all-time low under new CEO, with frequent executive churn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worthy-rival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Evolved from content library to AI skills platform; incremental adaptation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Investing in AI-first product during revenue decline is one costly bet, but largely forced by market pressure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Skillsoft holds $404M of Talent Development revenue (flat) and 21% adjusted EBITDA margins, with an AI-first pivot that could stabilize content demand [1]. A 1.2x forward P/E signals deep-value optionality if free cash flow improves.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FY2026 revenue fell 3.4% to $513M, Global Knowledge fell 13%, free cash flow halved to $6M and GAAP margin is -32%, with a $51M market cap against a leveraged balance sheet [1]. GenAI directly substitutes standardized training content, employee sentiment is poor (2.8/5 culture), and daily dollar volume of about $411K fails the liquidity floor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Traction for the AI Skills platform stabilizing Talent Development revenue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Debt refinancing or restructuring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Return to growth with enterprise purchasing recovery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GenAI tutors and free content commoditize the core library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Leverage versus $6M free cash flow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Cultural erosion and executive turnover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Generative AI directly commoditizes standardized skills content and course libraries, Skillsoft's core revenue, while global knowledge instructor-led training is declining 13% [1]. Enterprise purchasing is cautious and the company has no clear moat against AI tutors; no AI revenue is quantified.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Skillsoft Q4 and FY2026 Results, investor.skillsoft.com,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Skillsoft Glassdoor reviews and leadership, Glassdoor,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