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w:t>
      </w:r>
      <w:r>
        <w:rPr>
          <w:rFonts w:ascii="Calibri" w:hAnsi="Calibri"/>
          <w:b/>
          <w:color w:val="1A2010"/>
          <w:sz w:val="40"/>
        </w:rPr>
        <w:t xml:space="preserve">  SM Energy Company</w:t>
      </w:r>
    </w:p>
    <w:p>
      <w:pPr>
        <w:spacing w:after="120"/>
      </w:pPr>
      <w:r>
        <w:rPr>
          <w:rFonts w:ascii="Calibri" w:hAnsi="Calibri"/>
          <w:b/>
          <w:color w:val="6E8450"/>
          <w:sz w:val="18"/>
        </w:rPr>
        <w:t>DIVIDEND SLEEVE · 2026-08-23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NYSE · United States</w:t>
      </w:r>
    </w:p>
    <w:p>
      <w:pPr>
        <w:spacing w:after="80"/>
      </w:pPr>
      <w:r>
        <w:rPr>
          <w:rFonts w:ascii="Calibri" w:hAnsi="Calibri"/>
          <w:b w:val="0"/>
          <w:color w:val="3A4A28"/>
          <w:sz w:val="20"/>
        </w:rPr>
        <w:t>SM Energy Company is an independent oil and gas exploration and production company operating primarily in the Permian Basin (Midland and Delaware), DJ Basin (post-Civitas merger), and Uinta Basin in Utah. Founded in 1908 (originally St. Mary Land &amp; Exploration), the company completed a transformative merger with Civitas Resources in 2025, more than doubling its production base and creating one of the largest independent E&amp;P operators in the U.S. Q2 2026 production revenue was $2.16B (+215% YoY) with GAAP diluted EPS of $4.46 (+153%). The company achieved record operating cash flow and is headquartered in Denver, Colorado.</w:t>
      </w:r>
    </w:p>
    <w:p>
      <w:r>
        <w:rPr>
          <w:rFonts w:ascii="Calibri" w:hAnsi="Calibri"/>
          <w:b/>
          <w:color w:val="6E8450"/>
          <w:sz w:val="18"/>
        </w:rPr>
        <w:t>1,800 Employees · https://www.sm-energy.com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SM Energy completed the transformative Civitas Resources merger in 2025, which more than doubled the company's production base and expanded operations into the DJ Basin — one of the most significant M&amp;A transactions among independent E&amp;P companies [1]. This strategic acquisition opened major new revenue streams (Q2 revenue surged 215% YoY to $2.16B) and repositioned SM Energy as a multi-basin operator. Earlier expansion into the Uinta Basin (Utah) demonstrated strategic portfolio management. AI Deployment (0/2): No evidence of AI deployment with measurable results was identified. SM Energy is a conventional E&amp;P operator without publicly reported AI-driven products, cost savings, or operational efficiencies [2]. Market Share (0/2): Post-Civitas, SM Energy is a larger independent E&amp;P company but is not a category leader in any specific market. The company competes in the highly fragmented U.S. onshore production space alongside larger operators like Pioneer (now Exxon), Diamondback, and Devon. Product Pipeline (0/2): Oil and gas E&amp;P companies do not have traditional product pipelines. SM Energy's future is driven by reserves, well inventory, and drilling programs rather than discrete product launches. R&amp;D Intensity (0/1): E&amp;P companies generally have minimal R&amp;D spending relative to revenue. SM Energy's R&amp;D is not notable for its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SM Energy's stated purpose is functional — an independent energy company engaged in 'the acquisition, exploration, development, and production of crude oil, natural gas, and natural gas liquids' [2]. The company emphasizes that 'everyone is a leader, regardless of title, position or tenure' and holds quarterly CEO-led town halls with transparent business updates. While the culture messaging is intentional, the mission itself is generic and interchangeable with any E&amp;P peer. Community Impact (1/2): SM Energy has demonstrated meaningful environmental stewardship beyond regulatory requirements: achieving zero routine flaring (beating internal targets one year early), implementing LDAR at 100% of Midland Basin and 50% of South Texas locations, and building water handling infrastructure in Howard County that reduces emissions, truck traffic, and operating costs [2]. These are specific, measurable programs with environmental and community benefit. Employee Retention (1/2): Glassdoor reviews give SM Energy 3.5/5 stars based on 145 reviews, with employees describing a 'great company and positive outlook' and noting responsive leadership [2]. The 3.4 culture rating is average but not problematic. As a company founded in 1908, organizational continuity is evident. No red flags on turnover or cultural instability. Insider Buying (0/2): Net insider selling exceeded buying in the last 12 months — insiders sold $946K worth of shares versus $440K in purchases [3]. No pattern of conviction-driven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SM Energy demonstrates exceptional financial strength post-Civitas merger. Debt-to-equity of 59% is below the 70% target (scoring 1.0) [4]. ROE of 14.33% is near the 15% target (scoring 0.955). Revenue growth YoY is approximately 100% (TTM revenue $3.03B driven by the Civitas merger, scoring 1.0) [1]. Revenue growth 5yr CAGR of 27.8% is well above the 10% target (scoring 1.0). Forward P/E of 4.56x is far below the 20x target (scoring 1.0). Profit margin of 21.41% exceeds the 20% target (scoring 1.0). Dividend metrics: payout ratio of approximately 9% ($0.88 annual dividend / ~$10 estimated EPS, scoring 1.0 at 1x weight), consecutive years paid of 32 (since 1994, scoring 1.0 at 2x weight), consecutive years of dividend growth of approximately 5 (post-COVID reinstatement, scoring 0.5 at 1x weight), and 5yr dividend growth CAGR of 119.54% (scoring 1.0 at 2x weight) [3]. The stock clears the liquidity floor at approximately $170M daily traded value (5.64M shares x $30.21). Weighted sum of 11.455 out of 12.0 maximum yields 10/10.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SM Energy is a well-run but finite game player in the oil and gas industry. The company's strategic decisions — the Civitas merger, Uinta Basin expansion, environmental stewardship — demonstrate competent capital allocation, but the underlying purpose is maximizing shareholder returns from hydrocarbon production rather than advancing a durable Just Cause. The 118-year corporate history provides continuity, but the oil and gas industry's structural relationship with quarterly earnings guidance and commodity price optimization is inherently finite. The company does the right things operationally but lacks the transcendent purpose Sinek looks for.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SM Energy's stated purpose is functional — producing oil, gas, and NGLs profitably [2]. The company emphasizes culture ('everyone is a leader') and environmental stewardship (zero routine flaring, water infrastructure), but these are operational values rather than a Just Cause. There is no articulated vision of a future state worth sacrificing for, no purpose that would survive a pivot away from fossil fuels. The 118-year history suggests institutional durability, but Sinek would note that longevity alone does not equal infinite game thinking — it can equally indicate inertia.</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 Energy's culture emphasizes that 'everyone is a leader, regardless of title, position or tenure,' and quarterly CEO-led town halls provide transparent business updates including performance, safety, charitable activities, and environmental metrics [2]. Glassdoor reviews at 3.5/5 (145 reviews) indicate an adequate work environment without major cultural red flags. The company has been operating since 1908, suggesting organizational stability and continuity. However, no specific data on voluntary turnover or average tenure was found to distinguish the culture as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SM Energy's strategic positioning is framed around asset quality, operational efficiency, and accretive acquisitions — standard E&amp;P industry language oriented around winning the capital allocation game rather than learning from competitors [1]. The company has not publicly acknowledged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SM Energy has evolved from a small single-basin Permian operator to a multi-basin E&amp;P powerhouse through the transformative Civitas merger and Uinta Basin expansion [1]. The company has adapted its portfolio through strategic M&amp;A rather than rigid adherence to a single geographic focus. However, these moves were incremental expansions within the same industry (oil and gas E&amp;P) rather than a transformative reinvention of the business model. The company remains fundamentally a hydrocarbon producer with no evidence of diversification into renewables or alternative energy.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Civitas merger was a bold strategic decision that more than doubled SM Energy's production base, requiring significant capital commitment and integration risk during a period of commodity price uncertainty [1]. The company also invested in environmental stewardship beyond regulatory requirements — achieving zero routine flaring and building water handling infrastructure — accepting costs that many peers avoid. However, these decisions primarily serve shareholder value through operational efficiency rather than reflecting sacrifice of short-term returns for a principled long-term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 Energy at 4.56x forward P/E is among the cheapest E&amp;P stocks in the market, and the transformative Civitas merger is delivering immediately — Q2 2026 revenue of $2.16B (+215% YoY) with EPS of $4.46 (+153%) and record operating cash flow demonstrate the enlarged production base's earnings power [1]. Financial metrics are excellent: D/E of 59%, profit margin of 21.41%, and 5yr revenue CAGR of 27.8%. The dividend (paid since 1994, 32 consecutive years) yields 2.91% with a payout ratio under 10%, leaving massive room for dividend growth and share buybacks. Environmental stewardship (zero routine flaring, 100% LDAR implementation) positions SM Energy as an ESG-credible E&amp;P name [2]. The Inspire Impact Score of 46 (ALIGNED) with strong positive attributions in air quality, GHG emissions, and water conservation supports faith-based allocation.</w:t>
      </w:r>
    </w:p>
    <w:p>
      <w:pPr>
        <w:spacing w:after="120"/>
      </w:pPr>
      <w:r>
        <w:rPr>
          <w:rFonts w:ascii="Calibri" w:hAnsi="Calibri"/>
          <w:b w:val="0"/>
          <w:color w:val="3A4A28"/>
          <w:sz w:val="20"/>
        </w:rPr>
        <w:t>The bear case centers on commodity price dependency, merger integration risk, and the structural energy transition headwind. Revenue growth of 215% YoY is entirely merger-driven — organic growth ex-Civitas would be flat to single digits, and the Civitas integration introduces execution risk across operations, systems, and workforce [1]. Oil price sensitivity is extreme: a $10/barrel decline in WTI would significantly compress margins and potentially the dividend. ROE of 14.33% just misses the 15% target, suggesting the enlarged asset base has not yet reached optimal returns [4]. Net insider selling of $946K versus $440K in purchases suggests management is reducing personal exposure rather than increasing conviction [3]. Long-term, the energy transition toward renewables and EVs creates secular headwinds for fossil fuel demand, though the timeline for material impact on oil demand remains debated. SM Energy has no renewable or alternative energy diversification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integration of Civitas Resources across operations and systems could unlock synergies that improve per-unit economics, potentially lifting ROE above the 15% target and driving further EPS growth beyond the current $4.46 quarterly run rate [1]</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electricity demand is creating a structural tailwind for natural gas pricing, benefiting SM Energy's gas production in the Permian, DJ, and Uinta basins as utilities build gas-fired peaking plants [2]</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from the current $0.88 annual ($0.22/quarter) with a sub-10% payout ratio provides significant room for increases — the 119.54% 5yr CAGR demonstrates management's commitment to returning capital to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and natural gas price volatility directly determines SM Energy's earnings, margins, and cash flow — a sustained decline in WTI below $60/barrel would compress the 21.41% profit margin and likely force dividend reduction despite the low payout ratio [1][4]</w:t>
      </w:r>
    </w:p>
    <w:p>
      <w:pPr>
        <w:spacing w:before="40" w:after="40"/>
        <w:ind w:left="283"/>
      </w:pPr>
      <w:r>
        <w:rPr>
          <w:rFonts w:ascii="Calibri" w:hAnsi="Calibri"/>
          <w:b/>
          <w:color w:val="4A6B25"/>
          <w:sz w:val="20"/>
        </w:rPr>
        <w:t xml:space="preserve">2. </w:t>
      </w:r>
      <w:r>
        <w:rPr>
          <w:rFonts w:ascii="Calibri" w:hAnsi="Calibri"/>
          <w:b w:val="0"/>
          <w:color w:val="3A4A28"/>
          <w:sz w:val="20"/>
        </w:rPr>
        <w:t>Civitas merger integration risk including potential well-performance disappointments in the DJ Basin, cultural integration of two workforces, and the challenge of operating across three basins simultaneously with a relatively lean organizational structure [1]</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toward renewables and EVs creates secular demand risk for oil and gas, and SM Energy has no diversification strategy into alternative energy — the company is a pure hydrocarbon producer dependent on continued fossil fuel demand for its entire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SM Energy's core business — drilling, completing, and operating oil and gas wells in the Permian, DJ, and Uinta basins — involves physical-world resource extraction that AI structurally cannot displace [1]. Wells must be drilled, fracture-stimulated, and produced through physical operations that require human expertise, heavy equipment, and geological judgment. AI cannot substitute for the hydrocarbons in the ground. AI data center expansion is dramatically increasing electricity demand, which supports natural gas demand as a baseload and peaking fuel source — the IEA has flagged AI-driven energy demand as a major trend [2]. SM Energy's oil and gas production benefits from this structural demand increase. The company uses conventional E&amp;P technology without evidence of AI-related competitive threats from analysts. AI Opportunity (0/1): SM Energy generates no revenue from AI-related products or services. While the broader energy industry is beginning to adopt AI for reservoir modeling and predictive maintenance, SM Energy has not reported specific AI revenue contributions.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 Energy Q1 &amp; Q2 2026 Earnings — Q2 Revenue $2.16B (+215% YoY), EPS $4.46 (+153%), Record Operating Cash Flow, 5yr Revenue CAGR 27.8%, Civitas Integration,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SM Energy Corporate Culture &amp; ESG — Zero Routine Flaring, 100% LDAR Midland Basin, Water Infrastructure, 'Everyone Is a Leader' Culture, Glassdoor 3.5/5,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SM Energy Dividend &amp; Insider Activity — Dividends Since 1994 (32 Years), $0.22/Quarter, 5yr Div Growth CAGR 119.54%, Net Insider Selling $946K vs $440K Buying,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SM Key Statistics: Forward P/E 4.56, D/E 59%, ROE 14.33%, Profit Margin 21.41%, Stock Price $30.21,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