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STRL</w:t>
      </w:r>
      <w:r>
        <w:rPr>
          <w:rFonts w:ascii="Calibri" w:hAnsi="Calibri"/>
          <w:b/>
          <w:color w:val="1A2010"/>
          <w:sz w:val="40"/>
        </w:rPr>
        <w:t xml:space="preserve">  Sterling Infrastructure, Inc.</w:t>
      </w:r>
    </w:p>
    <w:p>
      <w:pPr>
        <w:spacing w:after="120"/>
      </w:pPr>
      <w:r>
        <w:rPr>
          <w:rFonts w:ascii="Calibri" w:hAnsi="Calibri"/>
          <w:b/>
          <w:color w:val="6E8450"/>
          <w:sz w:val="18"/>
        </w:rPr>
        <w:t>GROWTH SLEEVE · 2026-08-20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Infrastructure &amp; Construction · NASDAQ · United States</w:t>
      </w:r>
    </w:p>
    <w:p>
      <w:pPr>
        <w:spacing w:after="80"/>
      </w:pPr>
      <w:r>
        <w:rPr>
          <w:rFonts w:ascii="Calibri" w:hAnsi="Calibri"/>
          <w:b w:val="0"/>
          <w:color w:val="3A4A28"/>
          <w:sz w:val="20"/>
        </w:rPr>
        <w:t>Sterling Infrastructure provides e-infrastructure, transportation, and building solutions across the United States through three segments. The company has strategically pivoted from commodity contracting to mission-critical infrastructure, with its E-Infrastructure segment building data centers and semiconductor facilities for hyperscale customers using its integrated 'Site + Shell' model. Q2 2026 revenue surged 90% YoY to $1.17B, with 2026 full-year guidance raised to $4.0-4.15B (+64% YoY). Combined backlog of $5.6B (+150% YoY) provides exceptional revenue visibility. Headquartered in The Woodlands, Texas. CEO Joe Cutillo has led the transformation since 2017. Market cap ~$17.4B.</w:t>
      </w:r>
    </w:p>
    <w:p>
      <w:r>
        <w:rPr>
          <w:rFonts w:ascii="Calibri" w:hAnsi="Calibri"/>
          <w:b/>
          <w:color w:val="6E8450"/>
          <w:sz w:val="18"/>
        </w:rPr>
        <w:t>4,500 Employees · https://www.strlco.com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Sterling has executed one of the most successful strategic pivots in the infrastructure sector, transforming from a commodity bid-and-build contractor into an AI data center and semiconductor facility construction powerhouse under CEO Joe Cutillo since 2017. The 'Site + Shell' integrated model — combining site preparation with advanced electrical and mechanical systems into a turnkey solution — reduces build times for hyperscale customers and is a genuine business model innovation [1][5]. Revenue has grown from ~$1.55B (2021) to guided $4.0-4.15B (2026), a fundamental redefinition of the company. AI Deployment (0/2): Sterling does not deploy AI in its own products or services. The company builds physical infrastructure for others' AI workloads but has not reported AI-powered internal operations or AI-driven cost savings [1]. Market Share (2/2): Sterling is the fastest-growing data center site contractor in the U.S., with combined backlog surging 150% YoY to $5.6B and signed backlog up 116% to $4.3B — evidence of rapidly gaining share in mission-critical infrastructure [1][2]. The company's integrated Site + Shell approach has made it a preferred contractor for hyperscale and semiconductor customers, a market where qualification and trust barriers are high. Product Pipeline (2/2): The $5.6B combined backlog provides 6+ quarters of revenue visibility, with diversification into semiconductor, pharmaceutical, and manufacturing campuses extending beyond pure data center exposure [1][5]. 2027 revenue implied at $4.5B+ based on backlog trajectory. R&amp;D Intensity (0/1): As a construction company, Sterling's R&amp;D spending is below the broader industrials average. Innovation comes through operational execution and business model design rather than traditional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CEO Joe Cutillo articulates a purpose — 'Our work is about more than construction; it's about creating a foundation for a sustainable and equitable tomorrow, today' — that connects infrastructure construction to a larger societal impact [3]. The statement is clear and identifies a purpose beyond profit. However, it has not been tested through decades of consistent execution or crisis, and the 'sustainable and equitable tomorrow' framing, while thoughtful, is not yet distinctive enough to serve as a competitive advantage in Sinek's framework. Community Impact (1/2): Sterling publishes annual Sustainability Reports with ESG initiatives including fleet modernization, GHG reduction commitments, environmental stewardship, and community stakeholder engagement [3]. However, no specific charitable foundation, dollar amounts for community investment, or distinctive programs beyond standard corporate ESG were identified. Employee Retention (0/2): Glassdoor ratings of 3.7/5 for culture and values are adequate but not exceptional. Critical reviews flag leadership and accountability concerns with 'vague expectations that are suddenly used against employees' and 'constantly shifting priorities' [3]. No specific retention or tenure data available. Insider Buying (0/2): No evidence of meaningful net insider buying by executives was identified in recent filings.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Sterling demonstrates exceptional financial performance across nearly all dimensions. D/E of 29% is well below the 70% target, reflecting conservative leverage for a company in high-growth mode [4]. ROE of 36.68% exceeds the 15% target by 2.4x, demonstrating efficient capital deployment. Revenue growth YoY of 64% (guided) massively exceeds the 10% target, driven by AI data center and semiconductor facility demand [1][2]. Estimated 5yr revenue CAGR of ~21% (from ~$1.55B in 2021 to guided $4.075B in 2026) also exceeds the 10% target. Forward P/E of 26.51 is above the 20 target (0.84 metric score) but reasonable for a company growing earnings 84% YoY. Profit margin of 12.02% is the primary drag (0.60 metric score), below the 20% target — reflecting the labor-intensive nature of construction, though EBITDA margins of 22% show strong operational leverage. PEG of 1.22 is modestly above the 1.0 target (0.89 metric score). Liquidity is exceptional at ~$313M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Sterling demonstrates meaningful infinite game characteristics through its deliberate strategic transformation from commodity contracting to mission-critical infrastructure — a pivot that required courage, long-term vision, and willingness to walk away from established revenue streams. CEO Cutillo's nine-year tenure and consistent strategic direction provide leadership continuity. However, the purpose statement, while genuine, lacks the depth and multi-decade validation of true infinite game players, and employee reviews suggest cultural execution hasn't fully matched strategic ambition. The company is playing to build something lasting but hasn't yet proven it through a full economic cycle in its new identity.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Sterling's stated purpose — building 'a foundation for a sustainable and equitable tomorrow' through infrastructure — is genuine and partially lived [3]. The strategic pivot to mission-critical infrastructure (data centers, semiconductor fabs) can be traced back to a vision of building the physical foundation for America's technological future. CEO Cutillo has referenced this purpose consistently since 2017, and strategic decisions (shifting resources from transportation to E-Infrastructure, even as Transportation revenue fell 20%) are aligned with it [5]. However, the purpose hasn't been tested through a market downturn or crisis — the data center boom has been tailwind-driven, making it unclear whether the cause would survive if AI infrastructure demand decelerated.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Sterling maintains a workforce of ~4,500 employees with adequate organizational stability and a leadership team that has been largely consistent under CEO Cutillo since 2017 [3]. Glassdoor ratings of 3.7/5 for culture and values are above average for the construction industry. However, critical employee reviews flag concerns about shifting priorities, vague expectations, and accountability gaps — suggesting the internal culture has not fully evolved to match the company's ambitious strategic transformation. No evidence of exceptional trust, employee empowerment programs, or above-average retention metrics was found.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was found in Sterling's public communications. Management commentary focuses on the company's own capabilities, backlog growth, and market positioning rather than explicitly acknowledging competitors' strengths or framing competition as self-improvement [1][2]. The company's competitive language emphasizes its own differentiation (Site + Shell model, mission-critical focus)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Sterling has meaningfully evolved its business model from commodity infrastructure contracting to mission-critical data center and semiconductor facility construction, entering adjacent markets and adopting a new integrated delivery model (Site + Shell) [5]. This shift has transformed the company's revenue mix, margin profile, and customer base. However, the core competency remains construction — the company has applied existing capabilities (earthwork, site prep, foundations) to a new end market rather than fundamentally abandoning its core business. The pivot was opportunistic (riding the data center boom) rather than the painful self-disruption that Sinek describes as true existential flexibility.</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Cutillo has demonstrated a pattern of courageous long-term bets since taking the helm in 2017. The decision to deliberately shift resources away from the established Transportation Solutions segment — accepting 20% revenue decline in that business — to build the E-Infrastructure division required sacrificing near-term revenue for long-term positioning [5]. Sterling invested heavily in integrated Site + Shell capabilities, customer relationships with hyperscalers, and acquisition integration (including Plateau Excavation) during a period when the payoff was uncertain. The result — revenue acceleration from ~$1.55B to $4B+ in five years with expanding margins — validates the courage, but the decisions were made before the outcomes were known. The willingness to transform the entire business identity from 'Sterling Construction' to 'Sterling Infrastructure' signals organizational commitment to the new direction.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Sterling Infrastructure is executing the most impressive strategic pivot in the U.S. construction sector, riding the AI data center buildout to record results — Q2 2026 revenue of $1.17B (+90% YoY) with adjusted EBITDA margins expanding 150bps to 22% demonstrates both top-line acceleration and improving profitability [1]. The integrated 'Site + Shell' model creates a defensible competitive position with hyperscale customers who value speed-to-deployment, translating into a $5.6B combined backlog (+150% YoY) that provides 6+ quarters of revenue visibility [1][2]. 2026 full-year guidance of $4.0-4.15B (+64%) with adjusted EPS of $19.70-$20.30 (+84%) has been raised twice already, and the backlog trajectory implies continued acceleration into 2027. ROE of 36.68%, D/E of just 29%, and a PEG of 1.22 indicate the growth is capital-efficient and reasonably valued relative to the earnings growth rate. Diversification into semiconductor, pharmaceutical, and manufacturing campus construction reduces pure-play AI concentration risk [5].</w:t>
      </w:r>
    </w:p>
    <w:p>
      <w:pPr>
        <w:spacing w:after="120"/>
      </w:pPr>
      <w:r>
        <w:rPr>
          <w:rFonts w:ascii="Calibri" w:hAnsi="Calibri"/>
          <w:b w:val="0"/>
          <w:color w:val="3A4A28"/>
          <w:sz w:val="20"/>
        </w:rPr>
        <w:t>The bear case centers on valuation, customer concentration, and cyclicality risk. At $566.97 (Forward P/E 26.51, trailing P/E ~51), Sterling is priced as a secular growth story — any deceleration in AI data center demand would trigger severe multiple compression, as the stock has returned +99.86% in 52 weeks on momentum-driven investor enthusiasm [4]. Revenue in Transportation Solutions fell 20% as resources shifted to E-Infrastructure, creating dangerous concentration in a relatively small set of hyperscale and semiconductor customers whose capital spending plans could shift [5]. The critical question is whether the 2025-2026 data center buildout will be matched by AI revenue in 2027-2028 — if hyperscaler ROI disappoints, construction budgets could be cut. Profit margin of 12.02% remains below the 20% target, reflecting the inherently labor-intensive and weather-dependent nature of construction — a structural ceiling that limits margin expansion despite operational improvements [4]. The Glassdoor reviews flagging shifting priorities and accountability concerns suggest the organizational culture may be strained by the pace of transformation. Finally, construction is cyclical — Sterling has not yet navigated a downturn in its new identity, and the $17.4B market cap leaves significant downside if the AI infrastructure narrative reverses.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super-cycle with combined backlog of $5.6B (+150% YoY) providing multi-year revenue visibility, as hyperscalers like Microsoft, Google, and Amazon race to deploy AI capacity requiring massive physical infrastructure [1][2]</w:t>
      </w:r>
    </w:p>
    <w:p>
      <w:pPr>
        <w:spacing w:before="40" w:after="40"/>
        <w:ind w:left="283"/>
      </w:pPr>
      <w:r>
        <w:rPr>
          <w:rFonts w:ascii="Calibri" w:hAnsi="Calibri"/>
          <w:b/>
          <w:color w:val="4A6B25"/>
          <w:sz w:val="20"/>
        </w:rPr>
        <w:t xml:space="preserve">2. </w:t>
      </w:r>
      <w:r>
        <w:rPr>
          <w:rFonts w:ascii="Calibri" w:hAnsi="Calibri"/>
          <w:b w:val="0"/>
          <w:color w:val="3A4A28"/>
          <w:sz w:val="20"/>
        </w:rPr>
        <w:t>Full-year 2026 guidance raised to $4.0-4.15B revenue (+64%) and adjusted EPS $19.70-$20.30 (+84%), with the backlog trajectory and Q2 beat-and-raise pattern suggesting further upward revisions are likely [1][2]</w:t>
      </w:r>
    </w:p>
    <w:p>
      <w:pPr>
        <w:spacing w:before="40" w:after="40"/>
        <w:ind w:left="283"/>
      </w:pPr>
      <w:r>
        <w:rPr>
          <w:rFonts w:ascii="Calibri" w:hAnsi="Calibri"/>
          <w:b/>
          <w:color w:val="4A6B25"/>
          <w:sz w:val="20"/>
        </w:rPr>
        <w:t xml:space="preserve">3. </w:t>
      </w:r>
      <w:r>
        <w:rPr>
          <w:rFonts w:ascii="Calibri" w:hAnsi="Calibri"/>
          <w:b w:val="0"/>
          <w:color w:val="3A4A28"/>
          <w:sz w:val="20"/>
        </w:rPr>
        <w:t>Diversification beyond pure-play data centers into semiconductor fabrication facilities, pharmaceutical campuses, and advanced manufacturing — broadening the addressable market and reducing AI concentration risk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Customer concentration in hyperscale AI data center builders creates binary exposure to AI infrastructure capital spending — if hyperscaler ROI disappoints and construction budgets are cut, Sterling's $5.6B backlog could face deferrals or cancellations [5]</w:t>
      </w:r>
    </w:p>
    <w:p>
      <w:pPr>
        <w:spacing w:before="40" w:after="40"/>
        <w:ind w:left="283"/>
      </w:pPr>
      <w:r>
        <w:rPr>
          <w:rFonts w:ascii="Calibri" w:hAnsi="Calibri"/>
          <w:b/>
          <w:color w:val="4A6B25"/>
          <w:sz w:val="20"/>
        </w:rPr>
        <w:t xml:space="preserve">2. </w:t>
      </w:r>
      <w:r>
        <w:rPr>
          <w:rFonts w:ascii="Calibri" w:hAnsi="Calibri"/>
          <w:b w:val="0"/>
          <w:color w:val="3A4A28"/>
          <w:sz w:val="20"/>
        </w:rPr>
        <w:t>Valuation premium (Forward P/E 26.51, trailing P/E ~51, +99.86% 52-week return) prices in sustained hyper-growth — any deceleration from the 90% quarterly growth rate would trigger sharp multiple compression in a stock trading at $567 [4]</w:t>
      </w:r>
    </w:p>
    <w:p>
      <w:pPr>
        <w:spacing w:before="40" w:after="40"/>
        <w:ind w:left="283"/>
      </w:pPr>
      <w:r>
        <w:rPr>
          <w:rFonts w:ascii="Calibri" w:hAnsi="Calibri"/>
          <w:b/>
          <w:color w:val="4A6B25"/>
          <w:sz w:val="20"/>
        </w:rPr>
        <w:t xml:space="preserve">3. </w:t>
      </w:r>
      <w:r>
        <w:rPr>
          <w:rFonts w:ascii="Calibri" w:hAnsi="Calibri"/>
          <w:b w:val="0"/>
          <w:color w:val="3A4A28"/>
          <w:sz w:val="20"/>
        </w:rPr>
        <w:t>Construction industry cyclicality and labor-intensive operations (12% profit margin) create structural vulnerability to economic downturns, labor shortages, and weather disruptions — risks the company has not yet navigated in its transformed identity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Sterling's core business is IMMUNE to AI disruption — the company builds physical data centers, semiconductor fabrication facilities, and infrastructure that AI literally cannot substitute. Physical construction, earthwork, foundations, and mechanical/electrical systems require human labor, heavy equipment, and on-site execution that no software can replicate [1][5]. More critically, AI is the primary demand driver for Sterling's highest-growth segment: the E-Infrastructure business builds the data centers that house AI workloads, creating a structural tailwind as hyperscalers race to deploy AI capacity. Regulatory requirements (building codes, environmental permits, safety compliance) create additional moats. The traditional Transportation Solutions segment is less protected — road and bridge construction could face some efficiency pressure from AI-optimized design and construction management — but this segment is shrinking as a share of revenue as resources shift to E-Infrastructure [5]. AI Opportunity (1/1): Sterling generates substantial AI-linked revenue through its E-Infrastructure segment, which builds data centers for hyperscale AI customers. Q2 2026 revenue of $1.17B (+90% YoY) is directly driven by AI data center demand, and the $5.6B combined backlog is dominated by AI-related infrastructure projects [1][2]. This is quantifiable, material AI-attributable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Sterling Infrastructure Q2 2026 Earnings Release — Revenue $1.17B (+90% YoY), Adjusted EPS $5.80 (+116%), Adjusted EBITDA 22% Margin (+150bps), Signed Backlog $4.3B (+116%), Combined Backlog $5.6B (+150%) — PR Newswire, August 2026</w:t>
      </w:r>
    </w:p>
    <w:p>
      <w:pPr>
        <w:spacing w:before="20" w:after="20"/>
        <w:ind w:left="170"/>
      </w:pPr>
      <w:r>
        <w:rPr>
          <w:rFonts w:ascii="Calibri" w:hAnsi="Calibri"/>
          <w:b/>
          <w:color w:val="4A6B25"/>
          <w:sz w:val="15"/>
        </w:rPr>
        <w:t xml:space="preserve">2. </w:t>
      </w:r>
      <w:r>
        <w:rPr>
          <w:rFonts w:ascii="Calibri" w:hAnsi="Calibri"/>
          <w:b w:val="0"/>
          <w:color w:val="3A4A28"/>
          <w:sz w:val="17"/>
        </w:rPr>
        <w:t>Sterling Infrastructure Q1 2026 Earnings Release — Revenue $825.7M (+92% YoY), Net Income $96.0M (+143%), EPS $3.09 (+141%), Raised Full-Year 2026 Guidance — PR Newswire, May 2026</w:t>
      </w:r>
    </w:p>
    <w:p>
      <w:pPr>
        <w:spacing w:before="20" w:after="20"/>
        <w:ind w:left="170"/>
      </w:pPr>
      <w:r>
        <w:rPr>
          <w:rFonts w:ascii="Calibri" w:hAnsi="Calibri"/>
          <w:b/>
          <w:color w:val="4A6B25"/>
          <w:sz w:val="15"/>
        </w:rPr>
        <w:t xml:space="preserve">3. </w:t>
      </w:r>
      <w:r>
        <w:rPr>
          <w:rFonts w:ascii="Calibri" w:hAnsi="Calibri"/>
          <w:b w:val="0"/>
          <w:color w:val="3A4A28"/>
          <w:sz w:val="17"/>
        </w:rPr>
        <w:t>Sterling Infrastructure Mission/Values, 2026 Sustainability Report, Glassdoor Reviews (3.7 Culture/Values), Leadership Page — strlco.com,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Morningstar — STRL Key Statistics: Forward P/E 26.51, PEG 1.22, ROE 36.68%, D/E 29%, Profit Margin 12.02%, Stock Price $566.97, Avg Volume 552,500,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Simply Wall St, Motley Fool — 'From Earthmover To AI Infrastructure Powerhouse' — STRL Strategic Pivot Analysis, Data Center/AI Backlog Risk Assessment,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