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TXN</w:t>
      </w:r>
      <w:r>
        <w:rPr>
          <w:rFonts w:ascii="Calibri" w:hAnsi="Calibri"/>
          <w:b/>
          <w:color w:val="1A2010"/>
          <w:sz w:val="40"/>
        </w:rPr>
        <w:t xml:space="preserve">  Texas Instruments Incorporated</w:t>
      </w:r>
    </w:p>
    <w:p>
      <w:pPr>
        <w:spacing w:after="120"/>
      </w:pPr>
      <w:r>
        <w:rPr>
          <w:rFonts w:ascii="Calibri" w:hAnsi="Calibri"/>
          <w:b/>
          <w:color w:val="6E8450"/>
          <w:sz w:val="18"/>
        </w:rPr>
        <w:t>DIVIDEND SLEEVE · 2026-08-24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Texas Instruments Incorporated designs, manufactures, and sells semiconductors to electronics designers and manufacturers globally. The company operates through Analog and Embedded Processing segments. Analog products include power management, signal chain, and high-volume analog &amp; logic chips. Embedded Processing encompasses microcontrollers, processors, and connectivity solutions. Founded in 1951, headquartered in Dallas, Texas. Q2 2026 revenue reached $5.46B (+23% YoY), with data center revenue up roughly 90% YoY on surging AI power-delivery demand.</w:t>
      </w:r>
    </w:p>
    <w:p>
      <w:r>
        <w:rPr>
          <w:rFonts w:ascii="Calibri" w:hAnsi="Calibri"/>
          <w:b/>
          <w:color w:val="6E8450"/>
          <w:sz w:val="18"/>
        </w:rPr>
        <w:t>33,000 Employees · https://www.ti.com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TI has continued its multi-year pivot to dominate the analog semiconductor market, with the $14B+ investment in new 300mm wafer fabs (DMOS6, LFAB, RFAB2, Lehi) now paying off as data center revenue grew approximately 90% YoY in Q1 2026 and 2026 capex guidance dropped to $2-3B as the fab buildout completes and free cash flow per share is projected to exceed $8 in 2026, up from $3.23 in 2025 [1][3]. AI Deployment (1/2): TI's chips are critical enablers of AI infrastructure — advanced AI servers and GPUs require increasingly complex power delivery systems, and TI does not sell AI products directly but captures indirect, structural demand pull from AI buildout [2]. Market Share (2/2): TI remains the #1 analog semiconductor company globally with roughly 19% market share, more than double the next competitor, and Arete Research projects three years of analog semiconductor shortages driven by AI demand, positioning TI to gain further share [2]. Product Pipeline (1/2): Completed 300mm fab capacity at Lehi and Sherman is now delivering structural cost-per-transistor advantages with specific capex guidance through 2026, though the underlying analog products remain incremental improvements rather than named breakthrough launches [3]. R&amp;D Intensity (1/1): R&amp;D spending of approximately $1.8B annually continues to support competitive intensity relative to semiconductor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TI's stated purpose of 'making electronics more affordable through semiconductors, enabling a smarter, safer, greener, healthier and more connected world' is clear but broadly applicable to any semiconductor company, not a distinctive transformative vision. Community Impact (1/2): The TI Foundation continues to support STEM education programs, and the Dallas headquarters campus remains a major community anchor, but no specific new dollar amounts or large-scale charitable investment figures were identified this cycle. Employee Retention (1/2): Leadership continuity remains notable under CEO Haviv Ilan, a 20+ year TI veteran who succeeded Rich Templeton's 20+ year tenure in 2023, suggesting a deep-bench culture, though prior Glassdoor commentary about a cost-cutting culture and headcount reductions was not refreshed with new contrary evidence this cycle [4]. Insider Buying (0/2): No new evidence of net insider buying was identified; prior data showed net insider selling of approximately $55M over a trailing 12-month period, a pattern that has not reversed.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this cycle — dividend yield of 2.15% now clears the 2% threshold with 24 consecutive years of payment and growth, meeting the Dividend sleeve criteria alongside the 5+ year payment history. D/E of 78% is well-managed relative to the 300% ceiling, and ROE of 35.18% is more than double the 15% target, reflecting world-class capital efficiency for a capital-intensive semiconductor manufacturer [5]. TTM revenue growth of 16.66% comfortably exceeds the 10% threshold as the semiconductor cycle and AI-driven data center demand accelerate, though the 5-year revenue CAGR remains modest (~1.3%) reflecting the severe 2022-2024 downcycle. Profit margin of 30.93% is well above the 20% target. The dividend metrics are the primary drag: payout ratio of 86.28% is stretched relative to the 40% target, though the 24-year consecutive payment and growth streak scores at the maximum. Forward P/E of 27.32 has compressed meaningfully from 34.98x as earnings growth outpaced the share price. Average daily volume of 5.51M shares at $264.36 provides over $1.4B in daily liquidity, massively exceeding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Texas Instruments remains one of the purest infinite game players in the semiconductor industry. The counter-cyclical $14B+ investment in 300mm fab capacity during the 2023-2024 semiconductor downturn is now validated by the current AI-driven data center surge, with data center revenue up approximately 90% YoY and analysts projecting three years of analog shortages that structurally favor TI's expanded capacity. The 70+ year history spanning the invention of the integrated circuit through multiple business model transformations demonstrates remarkable institutional longevity and strategic clarity, and the current results show the counter-cyclical bet paying off exactly as management described 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TI's purpose of 'making electronics more affordable' through semiconductor innovation has been lived out over 70+ years of continuous execution [3]. The $14B+ fab investment during the 2023-2024 downturn is now bearing fruit in the current AI cycle, demonstrating that the purpose drove capital allocation ahead of a demand wave management could not have precisely timed — a hallmark of genuine long-term strategic conviction rather than reactive positioning. The cause remains more industrial-efficiency-oriented than an inspiring human mission, tempering the score below the maximum.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TI's deep-bench leadership model — CEO Ilan spent 20+ years rising through the organization before assuming the top role, following Rich Templeton's 20+ year tenure — continues to provide institutional continuity [4]. The 33,000-person workforce has operated with notable stability across multiple CEO transitions, though no new evidence this cycle refreshes the prior concerns about cost-cutting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TI's competitive strategy continues to focus on building structural cost advantages through 300mm manufacturing rather than attacking specific competitors by name. Management's Q2 2026 commentary emphasizes capturing broad-based AI-driven demand across industrial, data center, and automotive markets through internal capability-building rather than framing success around 'beating' Analog Devices, NXP, or Infineon [1][3].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TI has fundamentally reinvented itself multiple times over seven decades — from defense electronics to consumer calculators to digital signal processors to analog/embedded semiconductors [3]. The $14B+ bet on 300mm fabs when most analog competitors remained on 200mm is now proving to be another transformative move, reshaping TI's cost structure just as AI-driven data center demand for analog power components accelerates — the kind of bet-the-company timing that only becomes clear years later.</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TI's decision to invest $14B+ in new 300mm manufacturing capacity during the 2023-2024 semiconductor downturn — when revenue fell from $20B to $15.6B and free cash flow compressed dramatically — is now vindicated by the current cycle, with 2026 free cash flow per share projected above $8 versus $3.23 in 2025 as utilization ramps into surging AI-driven demand [1][3]. Management maintained aggressive CapEx despite Wall Street pressure to cut spending, betting on long-term analog demand growth when the short-term cost was real and immediate — a bet that has now paid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Texas Instruments delivered Q2 2026 revenue of $5.46B, up 23% YoY, with diluted EPS of $2.14 (+52% YoY), as growth accelerated across industrial, data center, and automotive end markets [1]. Data center revenue grew approximately 90% YoY in Q1 2026 as advanced AI servers and GPUs require increasingly complex power delivery systems, and Arete Research projects three years of analog semiconductor shortages that structurally favor TI's expanded 300mm capacity [2]. ROE of 35.18%, profit margin of 30.93%, and the world's largest analog semiconductor market position (~19% share) create a durable competitive moat, while 2026 capex is guided down to $2-3B as the fab buildout completes, driving projected free cash flow per share above $8 versus $3.23 in 2025 [3]. Q3 2026 guidance of $5.65-6.15B implies continued strong acceleration, and 24 consecutive years of dividend growth demonstrate capital return discipline even through severe cyclical downturns.</w:t>
      </w:r>
    </w:p>
    <w:p>
      <w:pPr>
        <w:spacing w:after="120"/>
      </w:pPr>
      <w:r>
        <w:rPr>
          <w:rFonts w:ascii="Calibri" w:hAnsi="Calibri"/>
          <w:b w:val="0"/>
          <w:color w:val="3A4A28"/>
          <w:sz w:val="20"/>
        </w:rPr>
        <w:t>The bear case centers on valuation normalization and payout sustainability. Even after Forward P/E compressed from 34.98x to 27.32x as earnings caught up with the stock price, TXN still trades at a premium that leaves limited margin of safety if the current AI-driven data center surge proves less durable than expected once early deployment waves pass or customers optimize power designs [2]. The 5-year revenue CAGR of just ~1.3% reveals the underlying cyclicality risk: revenue swung from $20B (FY2022) to $15.6B (FY2024) before the current recovery, and a demand air-pocket remains a structural risk for any single-cycle capex bet. The dividend payout ratio of 86.28% is stretched, leaving limited buffer during the next downturn despite the 24-year growth streak, and prior net insider selling of roughly $55M (including a 35.8% position reduction by the CFO) has not reversed. The Inspiration score of 4/10 reflects an uninspiring corporate mission and previously reported cost-cutting culture concerns, while geopolitical risk from U.S.-China semiconductor tensions could impact TI's significant China revenue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data center demand for power management semiconductors, with Q3 2026 guidance of $5.65-6.15B implying sustained 20%+ YoY growth as Arete Research's projected three-year analog shortage plays out in TI's favor [1][2]</w:t>
      </w:r>
    </w:p>
    <w:p>
      <w:pPr>
        <w:spacing w:before="40" w:after="40"/>
        <w:ind w:left="283"/>
      </w:pPr>
      <w:r>
        <w:rPr>
          <w:rFonts w:ascii="Calibri" w:hAnsi="Calibri"/>
          <w:b/>
          <w:color w:val="4A6B25"/>
          <w:sz w:val="20"/>
        </w:rPr>
        <w:t xml:space="preserve">2. </w:t>
      </w:r>
      <w:r>
        <w:rPr>
          <w:rFonts w:ascii="Calibri" w:hAnsi="Calibri"/>
          <w:b w:val="0"/>
          <w:color w:val="3A4A28"/>
          <w:sz w:val="20"/>
        </w:rPr>
        <w:t>Completed 300mm fab capacity at Lehi and Sherman driving free cash flow per share above $8 in 2026 (vs. $3.23 in 2025) as capex guidance drops to $2-3B and utilization ramps, funding continued dividend growth and potential buyback acceleration [3]</w:t>
      </w:r>
    </w:p>
    <w:p>
      <w:pPr>
        <w:spacing w:before="40" w:after="40"/>
        <w:ind w:left="283"/>
      </w:pPr>
      <w:r>
        <w:rPr>
          <w:rFonts w:ascii="Calibri" w:hAnsi="Calibri"/>
          <w:b/>
          <w:color w:val="4A6B25"/>
          <w:sz w:val="20"/>
        </w:rPr>
        <w:t xml:space="preserve">3. </w:t>
      </w:r>
      <w:r>
        <w:rPr>
          <w:rFonts w:ascii="Calibri" w:hAnsi="Calibri"/>
          <w:b w:val="0"/>
          <w:color w:val="3A4A28"/>
          <w:sz w:val="20"/>
        </w:rPr>
        <w:t>Broad-based recovery across industrial and automotive end markets compounding with the data center AI tailwind, positioning TI as a structural beneficiary of AI infrastructure buildout regardless of which AI software companies ultimately win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remains elevated even after multiple compression — the 5-year revenue CAGR of just 1.3% exposes extreme underlying cyclicality, and any moderation in the AI-driven data center surge (as early deployment waves pass or customers optimize designs) could trigger renewed multiple compression [2]</w:t>
      </w:r>
    </w:p>
    <w:p>
      <w:pPr>
        <w:spacing w:before="40" w:after="40"/>
        <w:ind w:left="283"/>
      </w:pPr>
      <w:r>
        <w:rPr>
          <w:rFonts w:ascii="Calibri" w:hAnsi="Calibri"/>
          <w:b/>
          <w:color w:val="4A6B25"/>
          <w:sz w:val="20"/>
        </w:rPr>
        <w:t xml:space="preserve">2. </w:t>
      </w:r>
      <w:r>
        <w:rPr>
          <w:rFonts w:ascii="Calibri" w:hAnsi="Calibri"/>
          <w:b w:val="0"/>
          <w:color w:val="3A4A28"/>
          <w:sz w:val="20"/>
        </w:rPr>
        <w:t>Dividend payout ratio of 86.28% remains stretched despite the 24-year growth streak, and unreversed net insider selling of roughly $55M (including a 35.8% CFO position reduction) suggests management may view the stock as fully valued</w:t>
      </w:r>
    </w:p>
    <w:p>
      <w:pPr>
        <w:spacing w:before="40" w:after="40"/>
        <w:ind w:left="283"/>
      </w:pPr>
      <w:r>
        <w:rPr>
          <w:rFonts w:ascii="Calibri" w:hAnsi="Calibri"/>
          <w:b/>
          <w:color w:val="4A6B25"/>
          <w:sz w:val="20"/>
        </w:rPr>
        <w:t xml:space="preserve">3. </w:t>
      </w:r>
      <w:r>
        <w:rPr>
          <w:rFonts w:ascii="Calibri" w:hAnsi="Calibri"/>
          <w:b w:val="0"/>
          <w:color w:val="3A4A28"/>
          <w:sz w:val="20"/>
        </w:rPr>
        <w:t>China revenue exposure creates meaningful geopolitical risk as U.S. export controls and trade tensions could restrict TI's access to a significant customer base, while previously reported cost-cutting culture concerns could impair long-term talent retention if not addressed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TI's analog and embedded semiconductors are physical-world interface components that AI structurally cannot replace — power management ICs, data converters, motor drivers, and sensors are required for every electronic system regardless of how much AI software it runs [5]. Semiconductor manufacturing requires physical fabs and deep process expertise; the completed $14B+ investment in 300mm wafer facilities creates a structural cost moat that no software-based AI can replicate [3]. As AI proliferates across data centers, demand for TI's analog chips is accelerating rather than eroding — Q1 2026 data center revenue grew approximately 90% YoY and more than 25% sequentially, driven by rising power requirements in AI servers and GPUs, and Arete Research projects three years of analog semiconductor shortages as a result [2]. AI Opportunity (1/1): TI generates substantial and accelerating direct revenue benefit from AI infrastructure buildout — Q2 2026 revenue grew 23% YoY to $5.46B with growth led by industrial, data center, and automotive end markets, and Q3 2026 guidance of $5.65-6.15B implies continued acceleration, with data center demand for power delivery to AI servers a structural, quantified tailwind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Texas Instruments Q2 2026 Earnings Release — Revenue $5.46B (+23% YoY), EPS $2.14, Q3 Guidance $5.65-6.15B — Tickeron,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The Market Thinks Texas Instruments (TXN) Is a Boring Analog Chipmaker; AI Data Centers Disagree — Insider Monkey/Yahoo Finance; TXN's AI Infrastructure Push Grows —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Texas Instruments Stock Outlook 2026: 300mm Fab Investment, Capex Guidance $2-3B, FCF/Share &gt;$8 — BingX/IndexBox, 2026</w:t>
      </w:r>
    </w:p>
    <w:p>
      <w:pPr>
        <w:spacing w:before="20" w:after="20"/>
        <w:ind w:left="170"/>
      </w:pPr>
      <w:r>
        <w:rPr>
          <w:rFonts w:ascii="Calibri" w:hAnsi="Calibri"/>
          <w:b/>
          <w:color w:val="4A6B25"/>
          <w:sz w:val="15"/>
        </w:rPr>
        <w:t xml:space="preserve">4. </w:t>
      </w:r>
      <w:r>
        <w:rPr>
          <w:rFonts w:ascii="Calibri" w:hAnsi="Calibri"/>
          <w:b w:val="0"/>
          <w:color w:val="3A4A28"/>
          <w:sz w:val="17"/>
        </w:rPr>
        <w:t>Haviv Ilan Leadership Profile and TI Culture — investor.ti.com, prior Glassdoor review coverage,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TXN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