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ADTN</w:t>
      </w:r>
      <w:r>
        <w:rPr>
          <w:rFonts w:ascii="Calibri" w:hAnsi="Calibri"/>
          <w:b/>
          <w:color w:val="1A2010"/>
          <w:sz w:val="40"/>
        </w:rPr>
        <w:t xml:space="preserve">  ADTRAN Holdings, Inc.</w:t>
      </w:r>
    </w:p>
    <w:p>
      <w:pPr>
        <w:spacing w:after="120"/>
      </w:pPr>
      <w:r>
        <w:rPr>
          <w:rFonts w:ascii="Calibri" w:hAnsi="Calibri"/>
          <w:b/>
          <w:color w:val="6E8450"/>
          <w:sz w:val="18"/>
        </w:rPr>
        <w:t>GROWTH SLEEVE · 2026-08-03 · Inspire: 66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Communication Equipment · NASDAQ · United States</w:t>
      </w:r>
    </w:p>
    <w:p>
      <w:pPr>
        <w:spacing w:after="80"/>
      </w:pPr>
      <w:r>
        <w:rPr>
          <w:rFonts w:ascii="Calibri" w:hAnsi="Calibri"/>
          <w:b w:val="0"/>
          <w:color w:val="3A4A28"/>
          <w:sz w:val="20"/>
        </w:rPr>
        <w:t>ADTRAN Holdings, Inc. provides networking and communications platforms, software, systems, and services globally. It operates through Network Solutions and Services &amp; Support segments, offering fiber broadband access, optical transport, and subscriber management solutions to service providers, utilities, municipalities, and enterprises. Formed through the 2022 merger of ADTRAN and ADVA Optical Networking.</w:t>
      </w:r>
    </w:p>
    <w:p>
      <w:r>
        <w:rPr>
          <w:rFonts w:ascii="Calibri" w:hAnsi="Calibri"/>
          <w:b/>
          <w:color w:val="6E8450"/>
          <w:sz w:val="18"/>
        </w:rPr>
        <w:t>3,201 Employees · https://www.adtran.com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The 2022 merger with ADTRAN Networks (formerly ADVA Optical) was a significant strategic move creating a combined fiber/optical platform, but this was industry consolidation rather than a transformative business model pivot — both companies were already in adjacent networking markets [1]. AI Deployment (1/2): ADTRAN is developing edge-AI broadband automation capabilities, with Q1 2026 results highlighting AI-driven network management and the Mosaic One SaaS platform incorporating ML for network optimization, though specific AI revenue has not been quantified [1][2]. Market Share (1/2): ADTRAN is a meaningful player in fiber broadband access and optical networking for Tier 2/3 service providers, utilities, and municipalities, but trails much larger rivals Nokia, Calix, and Ciena in scale. Product Pipeline (1/2): BEAD (Broadband Equity, Access, and Deployment) program orders are materializing, with Q1 2026 results showing this catalyst driving revenue growth; Mosaic One SaaS platform provides recurring revenue visibility [1]. R&amp;D Intensity (1/1): Engineering centers in Huntsville, Alabama and Germany maintain above-industry R&amp;D intensity through the merged entity, supporting fiber access and optical transport product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ADTRAN's ESG theme of 'Building a secure tomorrow' and its focus on bridging the digital divide through fiber broadband access demonstrate a specific and thoughtful purpose that connects networking infrastructure to societal benefit [3]. However, this framing does not appear to drive strategic decisions in a meaningful way. Community Impact (0/2): No specific charitable programs, foundation activity, or community investment beyond the general ESG reporting framework was found in research. Employee Retention (0/2): Glassdoor reviews describe a company that 'prides itself on trailing behind other companies' and is 'living about a decade in the past,' with executive management 'slow to effectively position the company in response to evolving technologies' [4]. A 3.8/5 overall rating across 395 reviews is adequate but not indicative of mission-driven retention. Insider Buying (0/2): No evidence of meaningful net insider buying in the past 12 months; the company suspended its dividend in 2023, signaling capital preservation over shareholder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calculated. Q1 2026 revenue of $286.1M (+15.5% YoY) demonstrated continued recovery momentum with non-GAAP operating margin reaching 6.9% [1]. However, preliminary Q2 2026 results disappointed significantly: revenue of $280-282M missed guidance of $283-303M, and non-GAAP operating margin of 3.5-4.0% fell well below the 5-9% guidance range due to project timing delays and elevated component/freight costs [5]. Q3 2026 guidance of $275-295M revenue with 1.5-5.5% operating margin reflects continued uncertainty. Key strengths: D/E of 48.6% scores well (1.0), revenue growth YoY of 15.5% exceeds target (1.0), and 5yr revenue CAGR of ~15% (boosted by ADVA merger) scores well at 2x weight. Critical weaknesses: negative ROE of -6.8% scores 0 at 2x weight, and negative GAAP profit margin of -4.2% scores 0. Liquidity check: avg volume 1.84M x $12.14 = $22.3M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ADTRAN shows mixed infinite game signals. The company's nearly 40-year history and CEO Tom Stanton's two-decade tenure demonstrate organizational stability, and the fiber broadband mission connects to a genuine societal purpose. However, Glassdoor reviews consistently describe a company resistant to change, 'trailing behind competitors,' and 'operating a decade in the past.' The Q2 2026 miss raises questions about whether the company can adapt quickly enough to capitalize on BEAD and edge-AI opportunities [4][5].</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ADTRAN's focus on enabling fiber broadband access connects to the societal goal of bridging the digital divide, and 'Building a secure tomorrow' articulates a future state worth pursuing [3]. However, this purpose reads more as marketing than a deeply held cause shaping strategic decisions — the company's slow pace of innovation and tendency to trail competitors suggests the cause does not drive urgency [4].</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CEO Tom Stanton's 20+ year tenure as CEO provides exceptional leadership continuity rarely seen in the technology sector, creating deep organizational stability. The Huntsville, Alabama roots with 3,200 employees foster a cohesive culture, and Glassdoor rates overall experience at 3.8/5 with work-life balance at 4.1/5, well above industry average for tech companies [4]. Long-tenured leadership creates the kind of psychological safety Sinek describes as essential for trusting teams, even if the culture skews conservative.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Glassdoor reviews reveal ADTRAN 'prides itself on having found its original success by trailing behind other companies learning from their mistakes' — this is a fast-follower finite strategy, not a worthy rivals mindset [4]. No evidence that ADTRAN uses Nokia, Calix, or Ciena's strengths as motivation for genuine self-improvement; instead, the company appears to deliberately lag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2022 merger with ADTRAN Networks (ADVA Optical) represented meaningful strategic evolution — combining fiber access with optical transport to create a more complete network platform. This was incremental expansion into adjacent markets rather than a transformative reinvention, but it demonstrates willingness to evolve the business model through M&amp;A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ADTRAN's decision to suspend dividends in 2023 to preserve capital during a cyclical downturn — and redirect investment toward the ADVA integration and product development — represents choosing long-term capability over short-term shareholder returns. Maintaining R&amp;D investment through the downturn enabled the 15.5% revenue rebound in Q1 2026 [1]. However, the Q2 2026 miss suggests execution gaps that undermine the courage-to-long-term narrative.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ADTRAN is in a revenue recovery phase, with Q1 2026 revenue of $286.1M (+15.5% YoY) and non-GAAP operating margin expanding to 6.9% from 3.9% a year earlier, with EPS rising from $0.03 to $0.14 [1]. The BEAD program represents a multi-year government-funded fiber buildout catalyst that directly benefits ADTRAN's broadband access and optical networking products. Edge-AI networking capabilities and the Mosaic One SaaS platform provide recurring revenue upside. At $12.14 (down 25% from April highs), the stock offers value if the company can convert revenue growth into sustained profitability. The combined ADTRAN/ADVA platform provides a broader product portfolio to serve the growing demand for fiber-to-the-home and optical transport solutions.</w:t>
      </w:r>
    </w:p>
    <w:p>
      <w:pPr>
        <w:spacing w:after="120"/>
      </w:pPr>
      <w:r>
        <w:rPr>
          <w:rFonts w:ascii="Calibri" w:hAnsi="Calibri"/>
          <w:b w:val="0"/>
          <w:color w:val="3A4A28"/>
          <w:sz w:val="20"/>
        </w:rPr>
        <w:t>The bear case has strengthened since April. Preliminary Q2 2026 results missed guidance significantly — revenue of $280-282M fell below the $283-303M range, and non-GAAP operating margin of 3.5-4.0% was well below the 5-9% guidance, blamed on project timing delays and elevated component/freight costs [5]. Q3 2026 guidance of $275-295M with an extremely wide 1.5-5.5% margin range signals management's limited near-term visibility. ADTRAN remains GAAP-unprofitable with -4.2% profit margin and -6.8% ROE — the revenue recovery has not translated to bottom-line results [6]. Glassdoor reviews describing the company as 'living a decade in the past' and 'trailing behind competitors' raise structural questions about whether ADTRAN can execute against better-capitalized rivals like Calix and Nokia in BEAD deployments [4]. The stock has declined 25% from its April 2026 peak following the Q2 guidance cut.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BEAD program deployments accelerating through H2 2026 and into 2027, representing multi-billion dollar government-funded fiber buildout that directly benefits ADTRAN's broadband access products</w:t>
      </w:r>
    </w:p>
    <w:p>
      <w:pPr>
        <w:spacing w:before="40" w:after="40"/>
        <w:ind w:left="283"/>
      </w:pPr>
      <w:r>
        <w:rPr>
          <w:rFonts w:ascii="Calibri" w:hAnsi="Calibri"/>
          <w:b/>
          <w:color w:val="4A6B25"/>
          <w:sz w:val="20"/>
        </w:rPr>
        <w:t xml:space="preserve">2. </w:t>
      </w:r>
      <w:r>
        <w:rPr>
          <w:rFonts w:ascii="Calibri" w:hAnsi="Calibri"/>
          <w:b w:val="0"/>
          <w:color w:val="3A4A28"/>
          <w:sz w:val="20"/>
        </w:rPr>
        <w:t>Non-GAAP operating margin expansion from 6.9% in Q1 toward profitability as revenue scales and component/freight cost headwinds normalize post-Q2</w:t>
      </w:r>
    </w:p>
    <w:p>
      <w:pPr>
        <w:spacing w:before="40" w:after="40"/>
        <w:ind w:left="283"/>
      </w:pPr>
      <w:r>
        <w:rPr>
          <w:rFonts w:ascii="Calibri" w:hAnsi="Calibri"/>
          <w:b/>
          <w:color w:val="4A6B25"/>
          <w:sz w:val="20"/>
        </w:rPr>
        <w:t xml:space="preserve">3. </w:t>
      </w:r>
      <w:r>
        <w:rPr>
          <w:rFonts w:ascii="Calibri" w:hAnsi="Calibri"/>
          <w:b w:val="0"/>
          <w:color w:val="3A4A28"/>
          <w:sz w:val="20"/>
        </w:rPr>
        <w:t>Edge-AI networking solutions and Mosaic One SaaS platform driving higher-margin recurring revenue and differentiation against commodity hardware competitors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Q2 2026 guidance miss (revenue and margins both below range) signals execution challenges and limited near-term visibility, with Q3 guidance range of $275-295M and 1.5-5.5% margins reflecting continued uncertainty</w:t>
      </w:r>
    </w:p>
    <w:p>
      <w:pPr>
        <w:spacing w:before="40" w:after="40"/>
        <w:ind w:left="283"/>
      </w:pPr>
      <w:r>
        <w:rPr>
          <w:rFonts w:ascii="Calibri" w:hAnsi="Calibri"/>
          <w:b/>
          <w:color w:val="4A6B25"/>
          <w:sz w:val="20"/>
        </w:rPr>
        <w:t xml:space="preserve">2. </w:t>
      </w:r>
      <w:r>
        <w:rPr>
          <w:rFonts w:ascii="Calibri" w:hAnsi="Calibri"/>
          <w:b w:val="0"/>
          <w:color w:val="3A4A28"/>
          <w:sz w:val="20"/>
        </w:rPr>
        <w:t>Persistent GAAP unprofitability with -4.2% profit margin and -6.8% ROE — revenue growth has not translated to earnings, and elevated component/freight costs may persist</w:t>
      </w:r>
    </w:p>
    <w:p>
      <w:pPr>
        <w:spacing w:before="40" w:after="40"/>
        <w:ind w:left="283"/>
      </w:pPr>
      <w:r>
        <w:rPr>
          <w:rFonts w:ascii="Calibri" w:hAnsi="Calibri"/>
          <w:b/>
          <w:color w:val="4A6B25"/>
          <w:sz w:val="20"/>
        </w:rPr>
        <w:t xml:space="preserve">3. </w:t>
      </w:r>
      <w:r>
        <w:rPr>
          <w:rFonts w:ascii="Calibri" w:hAnsi="Calibri"/>
          <w:b w:val="0"/>
          <w:color w:val="3A4A28"/>
          <w:sz w:val="20"/>
        </w:rPr>
        <w:t>Cultural inertia described by employees as 'operating a decade in the past' could prevent ADTRAN from capturing BEAD and AI-driven networking opportunities against more innovative and better-capitalized rivals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ADTRAN's core business is selling networking hardware and software to telecommunications providers — a sector where AI creates both risks and opportunities. AI-driven network automation could reduce the need for complex manual configuration that ADTRAN's products and professional services support, potentially compressing services revenue. However, the physical fiber infrastructure ADTRAN enables cannot be replaced by AI, and broadband access equipment requires manufacturing and field installation. The BEAD program is government-mandated infrastructure buildout largely immune to AI substitution [1]. Competition from larger players (Nokia, Calix) who are investing more aggressively in AI-powered networking could erode ADTRAN's position. AI Opportunity (1/1): ADTRAN is actively developing edge-AI broadband automation solutions, the Mosaic One SaaS platform incorporates AI/ML for network optimization, and the company won rail fiber deals leveraging AI-driven network management — representing early but quantifiable AI-related revenue streams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ADTRAN Q1 2026 Earnings Release — $286.1M revenue (+15.5% YoY), non-GAAP operating margin 6.9%, EPS $0.14, May 2026</w:t>
      </w:r>
    </w:p>
    <w:p>
      <w:pPr>
        <w:spacing w:before="20" w:after="20"/>
        <w:ind w:left="170"/>
      </w:pPr>
      <w:r>
        <w:rPr>
          <w:rFonts w:ascii="Calibri" w:hAnsi="Calibri"/>
          <w:b/>
          <w:color w:val="4A6B25"/>
          <w:sz w:val="15"/>
        </w:rPr>
        <w:t xml:space="preserve">2. </w:t>
      </w:r>
      <w:r>
        <w:rPr>
          <w:rFonts w:ascii="Calibri" w:hAnsi="Calibri"/>
          <w:b w:val="0"/>
          <w:color w:val="3A4A28"/>
          <w:sz w:val="17"/>
        </w:rPr>
        <w:t>ADTRAN Q1 2026 Investor Presentation — edge-AI broadband automation, Mosaic One SaaS platform, BEAD pipeline, May 2026</w:t>
      </w:r>
    </w:p>
    <w:p>
      <w:pPr>
        <w:spacing w:before="20" w:after="20"/>
        <w:ind w:left="170"/>
      </w:pPr>
      <w:r>
        <w:rPr>
          <w:rFonts w:ascii="Calibri" w:hAnsi="Calibri"/>
          <w:b/>
          <w:color w:val="4A6B25"/>
          <w:sz w:val="15"/>
        </w:rPr>
        <w:t xml:space="preserve">3. </w:t>
      </w:r>
      <w:r>
        <w:rPr>
          <w:rFonts w:ascii="Calibri" w:hAnsi="Calibri"/>
          <w:b w:val="0"/>
          <w:color w:val="3A4A28"/>
          <w:sz w:val="17"/>
        </w:rPr>
        <w:t>ADTRAN ESG Report 2024 — 'Building a Secure Tomorrow', sustainability initiatives,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ADTRAN Glassdoor Reviews — 3.8/5 overall rating, 395 reviews, culture and leadership commentary,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ADTRAN Preliminary Q2 2026 Results — revenue $280-282M (below $283-303M guidance), non-GAAP op margin 3.5-4.0% (below 5-9% guidance), Q3 guidance $275-295M, July 21, 2026</w:t>
      </w:r>
    </w:p>
    <w:p>
      <w:pPr>
        <w:spacing w:before="20" w:after="20"/>
        <w:ind w:left="170"/>
      </w:pPr>
      <w:r>
        <w:rPr>
          <w:rFonts w:ascii="Calibri" w:hAnsi="Calibri"/>
          <w:b/>
          <w:color w:val="4A6B25"/>
          <w:sz w:val="15"/>
        </w:rPr>
        <w:t xml:space="preserve">6. </w:t>
      </w:r>
      <w:r>
        <w:rPr>
          <w:rFonts w:ascii="Calibri" w:hAnsi="Calibri"/>
          <w:b w:val="0"/>
          <w:color w:val="3A4A28"/>
          <w:sz w:val="17"/>
        </w:rPr>
        <w:t>ADTRAN financial data — stock price $12.14, D/E 48.6%, ROE -6.8%, avg volume 1.84M,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