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AEG</w:t>
      </w:r>
      <w:r>
        <w:rPr>
          <w:rFonts w:ascii="Calibri" w:hAnsi="Calibri"/>
          <w:b/>
          <w:color w:val="1A2010"/>
          <w:sz w:val="40"/>
        </w:rPr>
        <w:t xml:space="preserve">  Aegon Ltd.</w:t>
      </w:r>
    </w:p>
    <w:p>
      <w:pPr>
        <w:spacing w:after="120"/>
      </w:pPr>
      <w:r>
        <w:rPr>
          <w:rFonts w:ascii="Calibri" w:hAnsi="Calibri"/>
          <w:b/>
          <w:color w:val="6E8450"/>
          <w:sz w:val="18"/>
        </w:rPr>
        <w:t>DIVIDEND SLEEVE · 2026-08-25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Financials · Insurance - Diversified · NYSE · Netherlands</w:t>
      </w:r>
    </w:p>
    <w:p>
      <w:pPr>
        <w:spacing w:after="80"/>
      </w:pPr>
      <w:r>
        <w:rPr>
          <w:rFonts w:ascii="Calibri" w:hAnsi="Calibri"/>
          <w:b w:val="0"/>
          <w:color w:val="3A4A28"/>
          <w:sz w:val="20"/>
        </w:rPr>
        <w:t>Aegon is a global insurance and asset management company founded in 1844, operating primarily in the United States (through Transamerica), the Netherlands, the United Kingdom, and internationally. The company provides life insurance, pensions, retirement products, and asset management services. Aegon reported H1 2026 net result of EUR 608M with EUR 1.7B cash capital at holding, declared an 11% higher interim dividend of EUR 0.21 per share, and announced a EUR 350M share buyback program. CEO Lard Friese is relocating to the U.S. in 2027 as part of a strategic shift toward its largest market. Market cap is approximately $13.7B.</w:t>
      </w:r>
    </w:p>
    <w:p>
      <w:r>
        <w:rPr>
          <w:rFonts w:ascii="Calibri" w:hAnsi="Calibri"/>
          <w:b/>
          <w:color w:val="6E8450"/>
          <w:sz w:val="18"/>
        </w:rPr>
        <w:t>15,304 Employees · https://www.aegon.com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Aegon has pursued incremental digital transformation over the past 5 years through its 'Core, Satellite, Universe' innovation approach, modernizing digital customer channels and operational processes [2]. However, no transformative product launch, market pivot, or business model innovation has occurred — the company sells the same life insurance, pension, and retirement products it has for decades, through largely the same distribution channels. AI Deployment (0/2): No evidence of AI-powered products shipping to customers or quantified AI-driven cost savings. Aegon has applied AI to claims management and fraud detection algorithms but these are standard insurance industry applications, not differentiating deployments with measurable results [2]. Market Share (1/2): Aegon/Transamerica is a meaningful player in the U.S. insurance and retirement market but is not a category leader or fastest share gainer. The company competes against much larger insurers (MetLife, Prudential, AIG) and has not gained share in a defining category [1]. Product Pipeline (0/2): No specific next-generation products with named launch dates and revenue visibility were identified. Aegon's growth strategy focuses on operational efficiency and capital return rather than product innovation. R&amp;D Intensity (1/1): Aegon invests in technology transformation and digital capabilities, with a dedicated Chief Strategy, Transformation and Growth Officer on the Executive Committee, suggesting above-average investment in modernization for the insurance industry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Aegon's purpose is generic for a financial services company — focused on helping people achieve a lifetime of financial security. While the statement identifies what the company does and for whom, it is interchangeable with virtually any insurance or retirement company and does not articulate a deeper purpose or inspire beyond the obvious [2]. Community Impact (1/2): Aegon operates community investment programs and has a sustainability framework aligned with CSRD requirements. The company was included in the S&amp;P Sustainability Yearbook 2026 and FTSE4Good Index. However, no distinctive charitable programs with specific dollar amounts or measurable community impact were identified beyond standard corporate philanthropy [3]. Employee Retention (1/2): Aegon employs 15,304 people with stable leadership under CEO Lard Friese. No significant layoff announcements or cultural red flags were identified, but no specific retention data, tenure statistics, or evidence of employees citing purpose as a reason for staying was found. Insider Buying (0/2): No evidence of meaningful insider buying was identified in the research. CEO Friese's compensation is primarily equity-based, but no discretionary insider purchases were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dividend stock metrics. Aegon's balance sheet is conservatively leveraged with D/E of 56.9%, below the 70% target [4]. Forward P/E of 8.01 is remarkably low, well under the 20x target, reflecting deep value pricing for a mature insurer. ROE of 10.42% is below the 15% target, scoring 0.695 — adequate but not exceptional for an insurance company. Profit margin of 8.01% scores 0.40, typical for insurance but well below the 20% target. Revenue declined 7.7% YoY, scoring 0.41, reflecting portfolio restructuring effects rather than organic decline. Dividend metrics are mixed: payout ratio of approximately 59% scores 0.69 (above the 40% target), consecutive years paid since the 2020 COVID suspension is approximately 5 years (scoring 0.50 with 2x weight), consecutive years of dividend growth is approximately 4 years (scoring 0.40), and the post-restart dividend growth CAGR is strong at approximately 10% (scoring 1.0 with 2x weight). The 11% interim dividend increase and EUR 350M buyback signal management confidence [1]. Liquidity floor: 3.5M avg daily volume x $9.19 = $32.1M, easily clearing the $1M threshold.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Aegon is a 182-year-old institution that has survived world wars, financial crises, and industry transformation — longevity that inherently suggests infinite-game DNA. However, the modern Aegon under CEO Lard Friese operates with a more finite posture, focused on operational efficiency, capital returns, and portfolio optimization rather than a bold vision of the future. The 2020 dividend suspension and subsequent restructuring revealed a company playing defense rather than advancing a cause, and the strategic relocation of the CEO to the U.S. reflects pragmatic market optimization rather than purpose-driven leadership.</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Aegon's purpose — helping people achieve a lifetime of financial security — is a cause that exists but is shallow by Sinek's standard. It is interchangeable with every major insurance company and does not describe a future state that does not yet exist. Leadership does not reference this purpose as a strategic decision-making framework; instead, decisions are framed around operational efficiency, free cash flow growth, and capital returns to shareholders [1]. The cause has not been validated through crisis — the 2020 dividend suspension showed the company prioritizing financial survival over shareholder commitment.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Aegon maintains a stable 15,304-person workforce with consistent leadership under CEO Lard Friese, who has led the company through its restructuring phase. The appointment of a Chief Strategy, Transformation and Growth Officer signals investment in organizational capability [2]. No evidence of mass layoffs, cultural dysfunction, or employee dissatisfaction emerged in research. However, no evidence of exceptional trust, employee empowerment, or cultural practices that create psychological safety was found either — the organization appears average for a large European insurer.</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Aegon's competitive posture acknowledges the strengths of larger rivals (MetLife, Prudential) and insurtech disruptors without framing competition as a zero-sum war. The company's 'Core, Satellite, Universe' innovation approach explicitly recognizes that external startups may develop superior solutions, positioning Aegon to learn from and partner with innovators rather than dismiss them [2]. Management commentary focuses on improving Aegon's own operational efficiency and customer experience rather than destroying competitors.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Aegon has not demonstrated transformative strategic flexibility in its modern history. The company has incrementally evolved — entering and exiting markets, restructuring portfolios, improving digital channels — but has not fundamentally reinvented its business model. The 2020 crisis response was retrenchment (dividend cut, cost reduction) rather than transformative pivoting. The planned CEO relocation to the U.S. is strategic optimization, not existential reinvention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Aegon's decision to relocate its CEO to the United States, its largest market, shows willingness to make an uncomfortable strategic move for long-term positioning [1]. The EUR 350M share buyback program and 11% dividend increase demonstrate capital return commitment. However, these are conventional corporate actions, not courageous long-term bets that sacrifice near-term results. The 2020 dividend suspension, while financially prudent, was a defensive move that broke a multi-decade commitment to shareholders. No evidence of Aegon choosing long-term capability investment over short-term earnings optimization was found.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Aegon at 8.01x forward earnings and 4.51% dividend yield offers deep value exposure to a restructuring European insurer with meaningful U.S. exposure through Transamerica. H1 2026 net result of EUR 608M, EUR 1.7B cash capital at holding, and a EUR 350M H2 2026 buyback program demonstrate strong capital generation and shareholder return commitment [1]. The 11% interim dividend increase signals management confidence in sustainable cash flow, and the 5% annual operating result growth target through 2027 provides earnings visibility. Aegon's MSCI AAA ESG rating and clean balance sheet (D/E 56.9%) add defensive quality. CEO Friese's planned relocation to the U.S. in 2027 signals strategic commitment to its largest and most profitable market [1][3].</w:t>
      </w:r>
    </w:p>
    <w:p>
      <w:pPr>
        <w:spacing w:after="120"/>
      </w:pPr>
      <w:r>
        <w:rPr>
          <w:rFonts w:ascii="Calibri" w:hAnsi="Calibri"/>
          <w:b w:val="0"/>
          <w:color w:val="3A4A28"/>
          <w:sz w:val="20"/>
        </w:rPr>
        <w:t>The bear case centers on structural growth challenges and execution risk. Revenue declined 7.7% YoY and EPS fell 22.5%, with the Q2 2026 earnings miss ($0.23 vs. $0.35 consensus) raising questions about the quality of the recovery [1]. The 5% annual operating result growth target is modest and depends on the successful execution of cost reduction and portfolio optimization rather than organic revenue expansion. Insurance industry headwinds — low interest rate sensitivity, regulatory pressure, and aging demographics — limit the upside. The 2020 dividend suspension broke Aegon's multi-decade payment record, and the post-restart dividend history of only 5 consecutive years represents a credibility rebuild still in progress. ROE of 10.42% and profit margin of 8.01% are below-average for the insurance sector, suggesting Aegon has not yet achieved the operational efficiency it targets. The stock trades near its 52-week high ($9.61), limiting near-term margin of safety. The Inspire Impact Score of 0 (MIXED) reflects no specific positive or negative faith-based attributions.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EUR 350M H2 2026 share buyback program combined with 11% dividend increase creates compelling total shareholder yield of approximately 8-9%, which could attract income-oriented investors and support the stock price near 52-week highs [1]</w:t>
      </w:r>
    </w:p>
    <w:p>
      <w:pPr>
        <w:spacing w:before="40" w:after="40"/>
        <w:ind w:left="283"/>
      </w:pPr>
      <w:r>
        <w:rPr>
          <w:rFonts w:ascii="Calibri" w:hAnsi="Calibri"/>
          <w:b/>
          <w:color w:val="4A6B25"/>
          <w:sz w:val="20"/>
        </w:rPr>
        <w:t xml:space="preserve">2. </w:t>
      </w:r>
      <w:r>
        <w:rPr>
          <w:rFonts w:ascii="Calibri" w:hAnsi="Calibri"/>
          <w:b w:val="0"/>
          <w:color w:val="3A4A28"/>
          <w:sz w:val="20"/>
        </w:rPr>
        <w:t>CEO relocation to the United States in 2027 signals strategic deepening of Transamerica focus — if U.S. operations accelerate growth and efficiency, it could re-rate the stock from a European insurer discount to a U.S. retirement/insurance multiple [1]</w:t>
      </w:r>
    </w:p>
    <w:p>
      <w:pPr>
        <w:spacing w:before="40" w:after="40"/>
        <w:ind w:left="283"/>
      </w:pPr>
      <w:r>
        <w:rPr>
          <w:rFonts w:ascii="Calibri" w:hAnsi="Calibri"/>
          <w:b/>
          <w:color w:val="4A6B25"/>
          <w:sz w:val="20"/>
        </w:rPr>
        <w:t xml:space="preserve">3. </w:t>
      </w:r>
      <w:r>
        <w:rPr>
          <w:rFonts w:ascii="Calibri" w:hAnsi="Calibri"/>
          <w:b w:val="0"/>
          <w:color w:val="3A4A28"/>
          <w:sz w:val="20"/>
        </w:rPr>
        <w:t>MSCI AAA ESG rating upgrade in 2025 positions Aegon favorably for ESG-mandated institutional capital flows into European financial stocks, broadening the potential investor base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Q2 2026 EPS miss of $0.23 vs. $0.35 consensus and 22.5% YoY EPS decline raise execution concerns — if operating result growth fails to meet the 5% annual target, the investment thesis depends entirely on capital return rather than earnings improvement [1]</w:t>
      </w:r>
    </w:p>
    <w:p>
      <w:pPr>
        <w:spacing w:before="40" w:after="40"/>
        <w:ind w:left="283"/>
      </w:pPr>
      <w:r>
        <w:rPr>
          <w:rFonts w:ascii="Calibri" w:hAnsi="Calibri"/>
          <w:b/>
          <w:color w:val="4A6B25"/>
          <w:sz w:val="20"/>
        </w:rPr>
        <w:t xml:space="preserve">2. </w:t>
      </w:r>
      <w:r>
        <w:rPr>
          <w:rFonts w:ascii="Calibri" w:hAnsi="Calibri"/>
          <w:b w:val="0"/>
          <w:color w:val="3A4A28"/>
          <w:sz w:val="20"/>
        </w:rPr>
        <w:t>Revenue decline of 7.7% YoY reflects portfolio restructuring effects and competitive pressures in a mature insurance market — sustained organic revenue contraction would undermine the growth component of Aegon's restructuring thesis</w:t>
      </w:r>
    </w:p>
    <w:p>
      <w:pPr>
        <w:spacing w:before="40" w:after="40"/>
        <w:ind w:left="283"/>
      </w:pPr>
      <w:r>
        <w:rPr>
          <w:rFonts w:ascii="Calibri" w:hAnsi="Calibri"/>
          <w:b/>
          <w:color w:val="4A6B25"/>
          <w:sz w:val="20"/>
        </w:rPr>
        <w:t xml:space="preserve">3. </w:t>
      </w:r>
      <w:r>
        <w:rPr>
          <w:rFonts w:ascii="Calibri" w:hAnsi="Calibri"/>
          <w:b w:val="0"/>
          <w:color w:val="3A4A28"/>
          <w:sz w:val="20"/>
        </w:rPr>
        <w:t>The 2020 dividend suspension broke a multi-decade payment record and consecutive years paid has only rebuilt to ~5 years — another suspension during a financial stress event would severely damage income investor confidence and the stock's yield premium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Aegon's core business — life insurance, pensions, and retirement products — is protected by deep regulatory moats (insurance licensing, solvency requirements, actuarial oversight), long-duration contractual relationships with high switching costs, and physical distribution networks that AI cannot easily displace [2]. The insurance value chain requires regulatory compliance, claims adjudication within legal frameworks, and fiduciary obligations that create structural barriers to AI substitution. While AI could partially automate underwriting, claims processing, and customer service functions, these represent operational efficiency gains for incumbents rather than existential substitution threats. Analysts have not flagged AI as a displacement risk for diversified insurers. The primary AI-related risk is from insurtech startups improving customer acquisition and pricing, but Aegon's scale and regulatory positioning provide meaningful defense. AI Opportunity (0/1): Aegon does not generate quantifiable revenue from AI-related products or services. The company uses AI internally for fraud detection and claims management, but these are cost-saving tools, not revenue-generating AI products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Aegon H1 2026 Earnings Results — Net Result EUR 608M, Interim Dividend EUR 0.21 (+11%), EUR 350M Buyback, EPS Miss $0.23 vs $0.35 — MarketBeat, Investing.com, August 2026</w:t>
      </w:r>
    </w:p>
    <w:p>
      <w:pPr>
        <w:spacing w:before="20" w:after="20"/>
        <w:ind w:left="170"/>
      </w:pPr>
      <w:r>
        <w:rPr>
          <w:rFonts w:ascii="Calibri" w:hAnsi="Calibri"/>
          <w:b/>
          <w:color w:val="4A6B25"/>
          <w:sz w:val="15"/>
        </w:rPr>
        <w:t xml:space="preserve">2. </w:t>
      </w:r>
      <w:r>
        <w:rPr>
          <w:rFonts w:ascii="Calibri" w:hAnsi="Calibri"/>
          <w:b w:val="0"/>
          <w:color w:val="3A4A28"/>
          <w:sz w:val="17"/>
        </w:rPr>
        <w:t>Aegon CEO Lard Friese, Leadership Structure, Digital Innovation Strategy, AI in Insurance — Aegon.com, Simply Wall St, ZoomInfo,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Aegon ESG Profile — MSCI AAA Rating (Sept 2025), S&amp;P Sustainability Yearbook 2026, FTSE4Good Index, CSRD Alignment — Aegon.com, KnowESG, 2025-2026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Yahoo Finance, GuruFocus — AEG Key Statistics: Price $9.19, Forward P/E 8.01, D/E 56.9%, ROE 10.42%, Dividend Yield 4.51%,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