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ALNY</w:t>
      </w:r>
      <w:r>
        <w:rPr>
          <w:rFonts w:ascii="Calibri" w:hAnsi="Calibri"/>
          <w:b/>
          <w:color w:val="1A2010"/>
          <w:sz w:val="40"/>
        </w:rPr>
        <w:t xml:space="preserve">  Alnylam Pharmaceuticals, Inc.</w:t>
      </w:r>
    </w:p>
    <w:p>
      <w:pPr>
        <w:spacing w:after="120"/>
      </w:pPr>
      <w:r>
        <w:rPr>
          <w:rFonts w:ascii="Calibri" w:hAnsi="Calibri"/>
          <w:b/>
          <w:color w:val="6E8450"/>
          <w:sz w:val="18"/>
        </w:rPr>
        <w:t>GROWTH SLEEVE · 2026-07-29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Alnylam Pharmaceuticals discovers, develops, manufactures, and commercializes therapeutics based on ribonucleic acid interference (RNAi). The company pioneered the commercial RNAi field with six approved medicines including AMVUTTRA (vutrisiran) for ATTR amyloidosis with cardiomyopathy and polyneuropathy, ONPATTRO, GIVLAARI, and OXLUMO. Approximately 500,000 patients worldwide receive Alnylam medicines. CEO Dr. Yvonne Greenstreet leads the 'Alnylam 2030' strategy targeting &gt;25% revenue CAGR. Founded 2002, headquartered in Cambridge, Massachusetts.</w:t>
      </w:r>
    </w:p>
    <w:p>
      <w:r>
        <w:rPr>
          <w:rFonts w:ascii="Calibri" w:hAnsi="Calibri"/>
          <w:b/>
          <w:color w:val="6E8450"/>
          <w:sz w:val="18"/>
        </w:rPr>
        <w:t>2,800 Employees · https://www.alnylam.com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Alnylam has executed one of biotech's most impressive transformations, growing net product revenue from ~$625M in 2020 to $2,987M in FY2025 (81% YoY growth) and achieving GAAP profitability for the first time after 20+ years of losses [1]. Q1 2026 crossed the $1B quarterly revenue threshold for the first time ($1,036M, up 121% YoY), driven by AMVUTTRA's blockbuster success in ATTR cardiomyopathy following the landmark HELIOS-B Phase 3 trial [2]. The company fundamentally transformed from a niche orphan drug maker to a mainstream cardiovascular therapeutics company — a pivot analogous to NVDA's gaming-to-AI transformation. Six approved RNAi medicines validate the platform. AI Deployment (1/2): Alnylam deployed Amazon Bedrock generative AI for operational efficiencies and partnered with Viz.ai on an FDA-cleared AI echocardiography algorithm that identifies cardiac amyloidosis patients earlier, directly expanding AMVUTTRA's addressable population [3]. Meaningful but not yet revenue-generating as standalone AI products. Market Share (2/2): Alnylam is the undisputed creator and dominant leader of commercial RNAi therapeutics, a category it invented, with six approved medicines and the broadest RNAi pipeline in the industry. No competitor has more than one approved RNAi therapy [1]. Product Pipeline (1/2): Deep pipeline with multiple Phase 1/2 programs: ALN-6400 (hereditary hemorrhagic telangiectasia, data H2 2026), ALN-HTT02 (Huntington's disease, Phase 1 data H2 2026), ALN-2232 (obesity/weight management, Phase 1 data H2 2026), plus ziltivekimab and fitusiran [2]. Pipeline has more than doubled in size, but most programs remain early-stage. R&amp;D Intensity (1/1): R&amp;D spending consistently at 40-50% of revenue, well above biotech and pharma peer median, reflecting the company's science-first culture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Alnylam's purpose — harnessing the potential of RNAi to develop transformative medicines for patients with serious diseases — is specific, thoughtful, and differentiating. CEO Greenstreet frames the culture as 'pursuing unreasonable goals on behalf of patients,' which reflects genuine intentionality [3]. The mission connects the company's pioneering science directly to patient impact and has been consistent for 24 years across two CEO transitions. Community Impact (1/2): Named one of America's Most Responsible Companies by Newsweek for four consecutive years through 2026. Corporate Responsibility Framework spans six pillars: Patients, Science, Employees, Communities, Planet, and Governance [4]. Patient access programs serve uninsured and underinsured populations, though specific charitable dollar amounts are not prominently disclosed. Employee Retention (1/2): The CEO transition from co-founder John Maraganore to Dr. Yvonne Greenstreet in 2022 was orderly and planned, reflecting organizational maturity and succession capability. Greenstreet emphasizes listening, accountability, and people-focus as core leadership values. The company scaled from ~1,700 to 2,800 employees during rapid commercialization without reported cultural disruption [3]. Insider Buying (0/2): Insider selling activity in August 2025 by CEO Greenstreet, CSO Fitzgerald, and CRO Garg was characterized as stemming from tax obligations on vested stock units rather than lack of confidence [4]. However, net insider activity is selling, not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growth-weighted metrics. Alnylam's infrastructure reflects exceptional growth fundamentals balanced against a leveraged balance sheet from its pre-profitability era. Revenue growth is extraordinary: 81% YoY for FY2025 and approximately 34% 5-year CAGR (2020-2025), both scoring maximum 1.0 with the 5-year CAGR at 2x weight [1]. ROE of approximately 54% far exceeds the 15% target (2x weight, score 1.0) [5]. D/E of 128% is elevated but well within the scoring range, reflecting debt taken on during 20 years of pre-profitability operations (score 0.748) [5]. Forward P/E of approximately 22x is slightly above the 20x target (score 0.95), and forward PEG of approximately 0.6 is outstanding, well below 1.0 target (2x weight, score 1.0) [5]. Profit margin of 8.45% is the weakest metric at 0.42, reflecting early-stage profitability as the company scales past breakeven for the first time [1]. Q1 2026 revenue of $1,036M (first $1B+ quarter, 121% YoY growth) validates the trajectory [2]. 2026 guidance of $4.9-5.3B in net product revenue implies 64-77% growth. Liquidity floor easily cleared: ~1.3M avg volume x $298.76 = ~$388M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Alnylam is one of biotech's clearest infinite game players. The company spent 24 years and over $10B in cumulative losses proving that RNAi therapeutics could work — persisting through the 'RNAi winter' of 2008-2012 when the entire field was widely dismissed, surviving a CEO transition, and finally achieving profitability in 2025. Sinek would cite Alnylam as a canonical example of a Just Cause driving competitive advantage: the purpose of harnessing RNAi for patients IS the reason 500,000 people now receive their medicines.</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Alnylam's purpose — harnessing RNAi to transform treatment of serious diseases — has been validated by 24 years of consistent execution against enormous odds. The company persisted through the 'RNAi winter' (2008-2012) when Nobel Prize-winning technology was widely dismissed as commercially unviable, surviving when competitors (Sirna Therapeutics, others) abandoned the field [1]. The purpose survived the co-founder CEO transition (Maraganore to Greenstreet, 2022) without deviation. Over $10B in cumulative losses were sustained in service of this cause before FY2025 profitability. Now 500,000 patients receive six approved Alnylam medicines. The purpose IS the competitive advantage — no other company has Alnylam's RNAi platform depth because no other company sustained the decades of commitment required to build 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Alnylam demonstrates adequate organizational trust. The CEO transition from founder Maraganore to Greenstreet was planned and smooth, reflecting internal succession capability and cultural continuity [3]. Greenstreet emphasizes listening, accountability, and 'culture of audacity' as core values. The company scaled from ~1,700 to 2,800 employees during rapid commercialization without major cultural disruption. Named one of America's Most Responsible Companies for four consecutive years [4]. However, no standout employee retention data, tenure metrics, or voluntary turnover rates are publicly available to confirm exceptional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Alnylam acknowledges competitive pressure from AstraZeneca's Wainua (eplontersen) in the ATTR space and discusses Arrowhead Pharmaceuticals and other RNAi players as validation of the platform rather than threats to destroy [3]. Management's competitive language focuses on advancing RNAi science and patient outcomes — framing competition as motivation to improve rather than a war to win. The company's investment in next-generation molecules is driven by patient need, not competitive paranoia.</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Alnylam showed meaningful strategic flexibility by pivoting from a pure rare disease company (ONPATTRO, GIVLAARI, OXLUMO) to pursue the vastly larger ATTR cardiomyopathy market with AMVUTTRA, fundamentally changing its revenue trajectory from a ~$1B niche company to a projected $5B+ cardiovascular therapeutics company [1][2]. The 'Alnylam 2030' strategy signals continued expansion into new therapeutic areas (cardiovascular inflammation, obesity, neurodegeneration). These are significant pivots within the RNAi platform but not a complete business model transformation — the company remains committed to RNAi as its core technology.</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Alnylam's leadership has demonstrated extraordinary courage across multiple dimensions. The company invested at 40-50% R&amp;D-to-revenue ratios for over a decade while accumulating $10B+ in losses — a level of long-term investment discipline that few leadership teams would sustain [1]. The HELIOS-B Phase 3 trial in ATTR cardiomyopathy was a massive bet: targeting a much larger market (cardiology) than the company's proven rare disease base, with hundreds of millions in trial costs. The continued hiring and commercialization investment during pre-profitability years demonstrated willingness to prioritize future capability over quarterly results. Each decision traces directly back to the Just Cause of developing RNAi medicines for patients.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Alnylam is executing one of biotech's most impressive commercial inflections. FY2025 net product revenue of $2,987M (up 81% YoY) and Q1 2026's historic $1,036M quarter (up 121% YoY, first $1B+ quarter) demonstrate explosive adoption of AMVUTTRA in ATTR cardiomyopathy following the landmark HELIOS-B Phase 3 trial [1][2]. The company reiterated 2026 guidance of $4.9-5.3B in net product revenue, implying 64-77% growth. GAAP profitability was achieved for the first time in FY2025 after 20+ years of losses, with the 'Alnylam 2030' strategy targeting &gt;25% revenue CAGR and ~30% non-GAAP operating margins through 2030 [1]. At a forward PEG of ~0.6 and forward P/E of ~22x, the stock is attractively valued for a company with this growth profile and margin expansion trajectory. The deep RNAi pipeline — with H2 2026 data readouts in HHT (ALN-6400), Huntington's disease (ALN-HTT02), and obesity (ALN-2232) — provides multiple shots at additional blockbuster opportunities [2].</w:t>
      </w:r>
    </w:p>
    <w:p>
      <w:pPr>
        <w:spacing w:after="120"/>
      </w:pPr>
      <w:r>
        <w:rPr>
          <w:rFonts w:ascii="Calibri" w:hAnsi="Calibri"/>
          <w:b w:val="0"/>
          <w:color w:val="3A4A28"/>
          <w:sz w:val="20"/>
        </w:rPr>
        <w:t>The bear case centers on revenue concentration and emerging competition. TTR franchise revenue (AMVUTTRA/ONPATTRO) accounts for the vast majority of sales — $910M of Q1 2026's $1,036M total — creating significant single-franchise risk [2]. AstraZeneca's Wainua (eplontersen) could show competitive data in late 2026, potentially challenging AMVUTTRA's best-in-class positioning in ATTR cardiomyopathy [3]. D/E of 128% reflects debt accumulated during 20 years of pre-profitability operations, and while the company is now cash-flow positive, deleveraging will take time [5]. Profit margin of just 8.45% remains thin for a company at this revenue scale, reflecting heavy investment in commercialization infrastructure and pipeline R&amp;D. The trailing P/E of 132x means any growth deceleration or competitive setback could trigger significant multiple compression. Pipeline risk persists — ALN-6400, ALN-HTT02, and ALN-2232 are all Phase 1 programs with years of development ahead, and the obesity program enters an intensely competitive field dominated by GLP-1 incumbents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net product revenue guidance of $4.9-5.3B representing 64-77% growth, driven by continued AMVUTTRA uptake in ATTR cardiomyopathy with expanding global market access and prescriber adoption beyond cardiology specialists</w:t>
      </w:r>
    </w:p>
    <w:p>
      <w:pPr>
        <w:spacing w:before="40" w:after="40"/>
        <w:ind w:left="283"/>
      </w:pPr>
      <w:r>
        <w:rPr>
          <w:rFonts w:ascii="Calibri" w:hAnsi="Calibri"/>
          <w:b/>
          <w:color w:val="4A6B25"/>
          <w:sz w:val="20"/>
        </w:rPr>
        <w:t xml:space="preserve">2. </w:t>
      </w:r>
      <w:r>
        <w:rPr>
          <w:rFonts w:ascii="Calibri" w:hAnsi="Calibri"/>
          <w:b w:val="0"/>
          <w:color w:val="3A4A28"/>
          <w:sz w:val="20"/>
        </w:rPr>
        <w:t>H2 2026 pipeline data readouts: ALN-6400 (HHT, Phase 1/2), ALN-HTT02 (Huntington's disease, Phase 1), and ALN-2232 (obesity/weight management, Phase 1) — each addressing large unmet needs with potential for additional blockbuster franchises</w:t>
      </w:r>
    </w:p>
    <w:p>
      <w:pPr>
        <w:spacing w:before="40" w:after="40"/>
        <w:ind w:left="283"/>
      </w:pPr>
      <w:r>
        <w:rPr>
          <w:rFonts w:ascii="Calibri" w:hAnsi="Calibri"/>
          <w:b/>
          <w:color w:val="4A6B25"/>
          <w:sz w:val="20"/>
        </w:rPr>
        <w:t xml:space="preserve">3. </w:t>
      </w:r>
      <w:r>
        <w:rPr>
          <w:rFonts w:ascii="Calibri" w:hAnsi="Calibri"/>
          <w:b w:val="0"/>
          <w:color w:val="3A4A28"/>
          <w:sz w:val="20"/>
        </w:rPr>
        <w:t>Margin expansion trajectory from 8.45% net margin toward management's ~30% non-GAAP operating margin target by 2030 as commercialization costs are leveraged across a rapidly growing revenue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AstraZeneca's Wainua (eplontersen) Phase 3 data expected late 2026 could challenge AMVUTTRA's best-in-class positioning, introducing competitive risk to the TTR franchise that accounts for ~88% of product revenue</w:t>
      </w:r>
    </w:p>
    <w:p>
      <w:pPr>
        <w:spacing w:before="40" w:after="40"/>
        <w:ind w:left="283"/>
      </w:pPr>
      <w:r>
        <w:rPr>
          <w:rFonts w:ascii="Calibri" w:hAnsi="Calibri"/>
          <w:b/>
          <w:color w:val="4A6B25"/>
          <w:sz w:val="20"/>
        </w:rPr>
        <w:t xml:space="preserve">2. </w:t>
      </w:r>
      <w:r>
        <w:rPr>
          <w:rFonts w:ascii="Calibri" w:hAnsi="Calibri"/>
          <w:b w:val="0"/>
          <w:color w:val="3A4A28"/>
          <w:sz w:val="20"/>
        </w:rPr>
        <w:t>Revenue concentration in a single franchise (TTR/AMVUTTRA) creates vulnerability — any safety signal, pricing pressure, or reimbursement restriction would disproportionately impact the business</w:t>
      </w:r>
    </w:p>
    <w:p>
      <w:pPr>
        <w:spacing w:before="40" w:after="40"/>
        <w:ind w:left="283"/>
      </w:pPr>
      <w:r>
        <w:rPr>
          <w:rFonts w:ascii="Calibri" w:hAnsi="Calibri"/>
          <w:b/>
          <w:color w:val="4A6B25"/>
          <w:sz w:val="20"/>
        </w:rPr>
        <w:t xml:space="preserve">3. </w:t>
      </w:r>
      <w:r>
        <w:rPr>
          <w:rFonts w:ascii="Calibri" w:hAnsi="Calibri"/>
          <w:b w:val="0"/>
          <w:color w:val="3A4A28"/>
          <w:sz w:val="20"/>
        </w:rPr>
        <w:t>Pipeline concentration risk — ALN-2232 (obesity) enters a crowded GLP-1-dominated field, ALN-HTT02 (Huntington's) is clinically challenging, and all three priority programs are Phase 1 with years of development and binary clinical outcomes ahead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Alnylam's core business — discovering, manufacturing, and commercializing RNAi therapeutics — is structurally immune to AI disruption. The competitive moat rests on proprietary RNAi chemistry platforms (GalNAc conjugation, lipid nanoparticle delivery), a deep patent estate, complex FDA-approved manufacturing processes, and two decades of clinical trial expertise that AI cannot substitute [1]. Patients require physical RNA-based medicines for ATTR amyloidosis — AI cannot replace the need for injectable therapeutics. Drug manufacturing is a physical-world operation with enormous regulatory barriers and switching costs. The deeply regulated FDA approval process (clinical trials, safety monitoring, manufacturing inspections) creates structural barriers that AI structurally cannot displace. However, AI could accelerate competitor drug discovery timelines, potentially enabling rivals like AstraZeneca (eplontersen) to develop competing therapies faster, which is a competitive risk rather than a disruption risk [3]. AI Opportunity (1/1): Alnylam generates indirect AI value through its Viz.ai partnership deploying FDA-cleared AI echocardiography that identifies cardiac amyloidosis patients earlier — directly expanding the addressable patient population for AMVUTTRA. Amazon Bedrock generative AI drives internal operational efficiencies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Alnylam Q4/FY2025 Earnings Release — $2,987M Net Product Revenue (81% YoY Growth), GAAP Profitability Achieved, 'Alnylam 2030' Strategy, 2026 Guidance $4.9-5.3B — investors.alnylam.com, February 2026</w:t>
      </w:r>
    </w:p>
    <w:p>
      <w:pPr>
        <w:spacing w:before="20" w:after="20"/>
        <w:ind w:left="170"/>
      </w:pPr>
      <w:r>
        <w:rPr>
          <w:rFonts w:ascii="Calibri" w:hAnsi="Calibri"/>
          <w:b/>
          <w:color w:val="4A6B25"/>
          <w:sz w:val="15"/>
        </w:rPr>
        <w:t xml:space="preserve">2. </w:t>
      </w:r>
      <w:r>
        <w:rPr>
          <w:rFonts w:ascii="Calibri" w:hAnsi="Calibri"/>
          <w:b w:val="0"/>
          <w:color w:val="3A4A28"/>
          <w:sz w:val="17"/>
        </w:rPr>
        <w:t>Alnylam Q1 2026 Earnings Release — $1,036M Net Product Revenue (121% YoY, First $1B+ Quarter), TTR Revenue $910M, Pipeline Updates: ALN-6400, ALN-HTT02, ALN-2232 — investors.alnylam.com, May 2026</w:t>
      </w:r>
    </w:p>
    <w:p>
      <w:pPr>
        <w:spacing w:before="20" w:after="20"/>
        <w:ind w:left="170"/>
      </w:pPr>
      <w:r>
        <w:rPr>
          <w:rFonts w:ascii="Calibri" w:hAnsi="Calibri"/>
          <w:b/>
          <w:color w:val="4A6B25"/>
          <w:sz w:val="15"/>
        </w:rPr>
        <w:t xml:space="preserve">3. </w:t>
      </w:r>
      <w:r>
        <w:rPr>
          <w:rFonts w:ascii="Calibri" w:hAnsi="Calibri"/>
          <w:b w:val="0"/>
          <w:color w:val="3A4A28"/>
          <w:sz w:val="17"/>
        </w:rPr>
        <w:t>Alnylam CEO Dr. Yvonne Greenstreet — Leadership, AI Partnerships (Viz.ai, Amazon Bedrock), Culture of Audacity, Competitive Landscape — BioSpace, BusinessWire, 2024-2026</w:t>
      </w:r>
    </w:p>
    <w:p>
      <w:pPr>
        <w:spacing w:before="20" w:after="20"/>
        <w:ind w:left="170"/>
      </w:pPr>
      <w:r>
        <w:rPr>
          <w:rFonts w:ascii="Calibri" w:hAnsi="Calibri"/>
          <w:b/>
          <w:color w:val="4A6B25"/>
          <w:sz w:val="15"/>
        </w:rPr>
        <w:t xml:space="preserve">4. </w:t>
      </w:r>
      <w:r>
        <w:rPr>
          <w:rFonts w:ascii="Calibri" w:hAnsi="Calibri"/>
          <w:b w:val="0"/>
          <w:color w:val="3A4A28"/>
          <w:sz w:val="17"/>
        </w:rPr>
        <w:t>Alnylam Corporate Responsibility — Newsweek Most Responsible Companies (4 Consecutive Years), ESG Framework, Insider Trading Activity — Newsweek, AInvest, 2024-2026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ChartMill, Macrotrends — ALNY Financial Statistics, Forward P/E ~22x, PEG ~0.6, D/E 128%, ROE ~54%,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