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AMBP</w:t>
      </w:r>
      <w:r>
        <w:rPr>
          <w:rFonts w:ascii="Calibri" w:hAnsi="Calibri"/>
          <w:b/>
          <w:color w:val="1A2010"/>
          <w:sz w:val="40"/>
        </w:rPr>
        <w:t xml:space="preserve">  Ardagh Metal Packaging S.A.</w:t>
      </w:r>
    </w:p>
    <w:p>
      <w:pPr>
        <w:spacing w:after="120"/>
      </w:pPr>
      <w:r>
        <w:rPr>
          <w:rFonts w:ascii="Calibri" w:hAnsi="Calibri"/>
          <w:b/>
          <w:color w:val="6E8450"/>
          <w:sz w:val="18"/>
        </w:rPr>
        <w:t>GROWTH SLEEVE · 2026-07-29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Luxembourg</w:t>
      </w:r>
    </w:p>
    <w:p>
      <w:pPr>
        <w:spacing w:after="80"/>
      </w:pPr>
      <w:r>
        <w:rPr>
          <w:rFonts w:ascii="Calibri" w:hAnsi="Calibri"/>
          <w:b w:val="0"/>
          <w:color w:val="3A4A28"/>
          <w:sz w:val="20"/>
        </w:rPr>
        <w:t>Ardagh Metal Packaging S.A. is a global supplier of infinitely recyclable beverage cans, producing aluminum and steel beverage packaging for major brands including Coca-Cola, AB InBev, and PepsiCo. Operations span North America, Europe, and Brazil. Spun off from Ardagh Group in 2021 as a pure-play metal packaging company with $5.5B in FY2025 revenue.</w:t>
      </w:r>
    </w:p>
    <w:p>
      <w:r>
        <w:rPr>
          <w:rFonts w:ascii="Calibri" w:hAnsi="Calibri"/>
          <w:b/>
          <w:color w:val="6E8450"/>
          <w:sz w:val="18"/>
        </w:rPr>
        <w:t>6,500 Employees · https://www.ardaghmetalpackaging.com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AMP has expanded beverage can capacity across North America and Europe, with Americas revenue growing 16% to $3.19B in FY2025 [1]. These are incremental capacity expansions to meet the sustainability-driven shift from plastic to aluminum, not transformative product launches or business model pivots. AI Deployment (0/2): No AI-powered products or quantified AI-driven efficiency gains evident in company disclosures [2]. AMP operates pure physical manufacturing with no meaningful AI integration. Market Share (1/2): AMP is one of the world's largest beverage can producers with $5.5B in FY2025 revenue, benefiting from the global secular shift toward infinitely recyclable aluminum packaging, but competes in a commodity market alongside Ball Corporation and Crown Holdings without defining the category [1]. Product Pipeline (1/2): Continued capacity investments and new production lines in Americas and Europe, but no specific next-generation products with named timelines or distinct revenue visibility beyond volume growth [2]. R&amp;D Intensity (0/1): Minimal R&amp;D spending typical of commodity packaging manufacturers; innovation focuses on manufacturing process optimization, lightweighting, and energy efficiency rather than new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 positions itself as a sustainable metal packaging company, emphasizing the infinite recyclability of aluminum and commitment to environmental stewardship through its 'Emissions, Ecology and Social' sustainability pillars [4]. The purpose is clear but not distinctive — peer companies Ball and Crown use near-identical messaging about sustainable packaging. Community Impact (1/2): AMP earned an EcoVadis platinum rating and received Science Based Targets initiative (SBTi) approval for near-term emissions reduction targets (42% Scope 1+2 by 2030), demonstrating genuine environmental commitment aligned with the business model [4]. No specific community investment programs or charitable dollar amounts disclosed beyond environmental targets. Employee Retention (0/2): No specific retention data, tenure metrics, or voluntary turnover rates publicly available. Insider Buying (0/2): No evidence of meaningful net insider buying by CEO Oliver Graham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revenue of $5.5B grew 12% YoY, driven by input cost pass-through and favorable product mix, with underlying shipments growth of approximately 3% [1]. Adjusted EBITDA improved 10% to $739M, and FY2026 guidance was raised to $775-790M after strong Q2 2026 results showing 14% EBITDA growth [3]. However, the balance sheet remains deeply challenged: long-term debt of $5.5B against negative shareholder equity of -$0.22B, producing near-zero net margins of 0.23% as interest expense consumes operating profit [5]. ROE of -103.6% reflects negative equity rather than operating efficiency. Forward P/E of approximately 15x assumes a recovery to $0.29 EPS that is uncertain. Revenue growth provides the only positive infrastructure signal while the leveraged capital structure and near-zero profitability severely constrain the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AMP operates as a finite game player. The company's purpose — sustainable metal packaging — reads more as market positioning than a transformative Just Cause that shapes strategic decisions. Leadership under CEO Oliver Graham has focused on operational efficiency and deleveraging since 2020, reflecting short-term survival priorities driven by the $5.5B debt load inherited from its Ardagh Group parentage. The extreme leverage constrains strategic flexibility and forces quarterly optimization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AMP articulates its purpose around sustainable metal packaging and the infinite recyclability of aluminum, with SBTi-approved emissions reduction targets and 100% renewable electricity goals by 2030 [4]. While genuine, this cause reads more as market positioning than a transformative vision — it describes what the company does rather than a future state it is working to create. The sustainability narrative is increasingly table stakes in packaging, used identically by Ball and Crown Holdings. The purpose does not demonstrably shape strategic decisions beyond standard sustainability reporting.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data indicates 81% of AMP employees would recommend working there with a 3.7/5 culture rating, suggesting adequate but not exceptional workplace trust [5]. Reviews note leadership 'lacks direction and timely decision making' and describe a 'siloed culture' between corporate offices and manufacturing plants that hinders collaboration [5]. No evidence of standout employee empowerment programs or exceptional retention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AMP's competitive commentary focuses on market position, capacity expansion, and sustainability credentials rather than learning from competitors [1]. No evidence of management referencing Ball Corporation's or Crown Holdings' strengths as motivation for self-improvement. Competitive framing centers on growing share and expanding capacity rather than self-improvement driven by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Parent company Ardagh Group demonstrated flexibility by separating its metal packaging business from glass packaging operations to create a pure-play sustainable packaging company in 2021, positioning AMP to capitalize on the plastic-to-metal substitution trend [1]. This structural move was meaningful. However, AMP itself has not demonstrated transformative strategic pivots since formation — the company continues executing the same beverage can manufacturing model, and the $5.5B debt load severely constrains any ability to make bold strategic shifts.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Oliver Graham has focused on operational efficiency and deleveraging since taking the role in 2020, which is financially prudent but not courageous in Sinek's framework [1]. The extreme leverage inherited from Ardagh Group constrains management's degrees of freedom, and operational decisions appear driven by debt service requirements rather than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 delivered FY2025 revenue of $5.5B (up 12% YoY) with adjusted EBITDA of $739M, and raised FY2026 EBITDA guidance to $775-790M after strong Q2 2026 results showing 14% EBITDA growth [1][3]. The company benefits from a powerful secular tailwind: the global shift from single-use plastic to infinitely recyclable aluminum beverage cans, supported by regulatory bans on plastics and consumer sustainability preferences. With global beverage can demand growing 3-5% annually and AMP positioned as one of the world's largest producers, the revenue runway is visible and durable. Forward P/E of approximately 15x is undemanding if the earnings recovery thesis materializes.</w:t>
      </w:r>
    </w:p>
    <w:p>
      <w:pPr>
        <w:spacing w:after="120"/>
      </w:pPr>
      <w:r>
        <w:rPr>
          <w:rFonts w:ascii="Calibri" w:hAnsi="Calibri"/>
          <w:b w:val="0"/>
          <w:color w:val="3A4A28"/>
          <w:sz w:val="20"/>
        </w:rPr>
        <w:t>The balance sheet remains the critical concern: $5.5B in long-term debt against negative equity of -$0.22B produces near-zero net margins of 0.23% as interest expense consumes operating profit [5]. Revenue growth of 12% annually is flattered by aluminum input cost pass-through — underlying volume growth was only approximately 3% in FY2025 [1]. The dividend of $0.40/share appears unsustainable at approximately 500% of trailing earnings. ROE of -103.6% reflects negative equity rather than operating efficiency. Any macro slowdown reducing beverage consumption would pressure both volumes and debt service capacity, creating existential refinancing risk if credit markets tighten simultaneously. At $4.34 per share, AMBP trades on faith in the deleveraging thesis rather than current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EBITDA guidance raised to $775-790M from original $750-775M, reflecting operational momentum with potential for further upgrades if global beverage demand holds through H2 2026 [3]</w:t>
      </w:r>
    </w:p>
    <w:p>
      <w:pPr>
        <w:spacing w:before="40" w:after="40"/>
        <w:ind w:left="283"/>
      </w:pPr>
      <w:r>
        <w:rPr>
          <w:rFonts w:ascii="Calibri" w:hAnsi="Calibri"/>
          <w:b/>
          <w:color w:val="4A6B25"/>
          <w:sz w:val="20"/>
        </w:rPr>
        <w:t xml:space="preserve">2. </w:t>
      </w:r>
      <w:r>
        <w:rPr>
          <w:rFonts w:ascii="Calibri" w:hAnsi="Calibri"/>
          <w:b w:val="0"/>
          <w:color w:val="3A4A28"/>
          <w:sz w:val="20"/>
        </w:rPr>
        <w:t>Secular shift from plastic to aluminum packaging accelerating through regulatory bans and sustainability mandates across Europe and North America, providing structural volume tailwind of 3-5% annual growth</w:t>
      </w:r>
    </w:p>
    <w:p>
      <w:pPr>
        <w:spacing w:before="40" w:after="40"/>
        <w:ind w:left="283"/>
      </w:pPr>
      <w:r>
        <w:rPr>
          <w:rFonts w:ascii="Calibri" w:hAnsi="Calibri"/>
          <w:b/>
          <w:color w:val="4A6B25"/>
          <w:sz w:val="20"/>
        </w:rPr>
        <w:t xml:space="preserve">3. </w:t>
      </w:r>
      <w:r>
        <w:rPr>
          <w:rFonts w:ascii="Calibri" w:hAnsi="Calibri"/>
          <w:b w:val="0"/>
          <w:color w:val="3A4A28"/>
          <w:sz w:val="20"/>
        </w:rPr>
        <w:t>Deleveraging progress reducing interest expense burden, with potential to materially improve net margin from current 0.23% and restore earnings visibility as EBITDA grows toward $800M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$5.5B debt load with negative shareholder equity creates existential refinancing risk if credit markets tighten or operating performance deteriorates below debt covenant thresholds</w:t>
      </w:r>
    </w:p>
    <w:p>
      <w:pPr>
        <w:spacing w:before="40" w:after="40"/>
        <w:ind w:left="283"/>
      </w:pPr>
      <w:r>
        <w:rPr>
          <w:rFonts w:ascii="Calibri" w:hAnsi="Calibri"/>
          <w:b/>
          <w:color w:val="4A6B25"/>
          <w:sz w:val="20"/>
        </w:rPr>
        <w:t xml:space="preserve">2. </w:t>
      </w:r>
      <w:r>
        <w:rPr>
          <w:rFonts w:ascii="Calibri" w:hAnsi="Calibri"/>
          <w:b w:val="0"/>
          <w:color w:val="3A4A28"/>
          <w:sz w:val="20"/>
        </w:rPr>
        <w:t>Input cost pass-through masks modest underlying volume growth of approximately 3% in FY2025; a beverage consumption slowdown would expose the leveraged balance sheet to margin compression and covenant pressure [1]</w:t>
      </w:r>
    </w:p>
    <w:p>
      <w:pPr>
        <w:spacing w:before="40" w:after="40"/>
        <w:ind w:left="283"/>
      </w:pPr>
      <w:r>
        <w:rPr>
          <w:rFonts w:ascii="Calibri" w:hAnsi="Calibri"/>
          <w:b/>
          <w:color w:val="4A6B25"/>
          <w:sz w:val="20"/>
        </w:rPr>
        <w:t xml:space="preserve">3. </w:t>
      </w:r>
      <w:r>
        <w:rPr>
          <w:rFonts w:ascii="Calibri" w:hAnsi="Calibri"/>
          <w:b w:val="0"/>
          <w:color w:val="3A4A28"/>
          <w:sz w:val="20"/>
        </w:rPr>
        <w:t>Commodity aluminum price volatility creates revenue and cost uncertainty, with limited pricing power beyond pass-through mechanisms in a competitive oligopoly market against better-capitalized Ball Corporation and Crown Holdings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AMP's core business — manufacturing aluminum beverage cans at industrial scale — is structurally immune to AI disruption [1]. The business requires physical manufacturing facilities, complex aluminum procurement supply chains, and deep integration with major beverage companies that AI cannot replicate or substitute. Aluminum smelting, can forming, coating, and printing are physical-world operations with no AI substitution pathway. The beverage can market's growth is driven by sustainability regulation and consumer preferences, neither of which AI displaces. AI may marginally improve manufacturing efficiency through predictive maintenance and process optimization, representing upside rather than threat. AI Opportunity (0/1): No meaningful AI revenue or AI-powered product offerings. AMP is a consumer goods manufacturer, not a technology company, with no quantifiable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Ardagh Metal Packaging S.A. Fourth Quarter and Full Year 2025 Results —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Ardagh Metal Packaging S.A. First Quarter 2026 Results — PR 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Ardagh Metal Packaging Q2 2026 Earnings Call Transcript — Investing.com, July 2026</w:t>
      </w:r>
    </w:p>
    <w:p>
      <w:pPr>
        <w:spacing w:before="20" w:after="20"/>
        <w:ind w:left="170"/>
      </w:pPr>
      <w:r>
        <w:rPr>
          <w:rFonts w:ascii="Calibri" w:hAnsi="Calibri"/>
          <w:b/>
          <w:color w:val="4A6B25"/>
          <w:sz w:val="15"/>
        </w:rPr>
        <w:t xml:space="preserve">4. </w:t>
      </w:r>
      <w:r>
        <w:rPr>
          <w:rFonts w:ascii="Calibri" w:hAnsi="Calibri"/>
          <w:b w:val="0"/>
          <w:color w:val="3A4A28"/>
          <w:sz w:val="17"/>
        </w:rPr>
        <w:t>AMP 2024 Sustainability Report and SBTi Targets — ardaghmetalpackaging.com,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Macrotrends — AMBP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