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AMTX</w:t>
      </w:r>
      <w:r>
        <w:rPr>
          <w:rFonts w:ascii="Calibri" w:hAnsi="Calibri"/>
          <w:b/>
          <w:color w:val="1A2010"/>
          <w:sz w:val="40"/>
        </w:rPr>
        <w:t xml:space="preserve">  Aemetis, Inc.</w:t>
      </w:r>
    </w:p>
    <w:p>
      <w:pPr>
        <w:spacing w:after="120"/>
      </w:pPr>
      <w:r>
        <w:rPr>
          <w:rFonts w:ascii="Calibri" w:hAnsi="Calibri"/>
          <w:b/>
          <w:color w:val="6E8450"/>
          <w:sz w:val="18"/>
        </w:rPr>
        <w:t>GROWTH SLEEVE · 2026-08-06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United States</w:t>
      </w:r>
    </w:p>
    <w:p>
      <w:pPr>
        <w:spacing w:after="80"/>
      </w:pPr>
      <w:r>
        <w:rPr>
          <w:rFonts w:ascii="Calibri" w:hAnsi="Calibri"/>
          <w:b w:val="0"/>
          <w:color w:val="3A4A28"/>
          <w:sz w:val="20"/>
        </w:rPr>
        <w:t>Aemetis, Inc. is a renewable natural gas and biofuels company focused on below-zero carbon intensity products. Operates through three segments: California Ethanol (60M gallon/year facility near Modesto), California Dairy Renewable Natural Gas (biogas collection from dairy farms), and India Biodiesel (50M gallon/year facility). Produces ethanol, renewable natural gas, biodiesel, and carbon credits under LCFS and RFS programs. Pursuing Carbon Zero production and Sustainable Aviation Fuel. Founded 2006, headquartered in Cupertino, California.</w:t>
      </w:r>
    </w:p>
    <w:p>
      <w:r>
        <w:rPr>
          <w:rFonts w:ascii="Calibri" w:hAnsi="Calibri"/>
          <w:b/>
          <w:color w:val="6E8450"/>
          <w:sz w:val="18"/>
        </w:rPr>
        <w:t>250 Employees · https://www.aemetis.com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Aemetis launched the Carbon Zero production initiative and expanded into Dairy Renewable Natural Gas operations, growing RNG volumes to 110,000 MMBtu in Q1 2026 [1]. India Biodiesel sales resumed at $10.5M as tenders restarted. These represent extensions of existing biofuel capabilities rather than transformative pivots. AI Deployment (0/2): No AI-powered products or measurable AI-driven operational efficiencies; biofuel production relies on traditional chemical and biological processing. Market Share (0/2): Aemetis is a small player in the renewable fuels market with $267M annual revenue, competing against much larger producers like Neste, Diamond Green Diesel, and Valero Renewables [1]. Pipeline (1/2): Seven new LCFS pathway approvals averaging -380 carbon intensity score significantly increase credit revenue per MMBtu of RNG; SAF production plans and 45Z Production Tax Credits ($4M in Q1) represent specific revenue catalysts with regulatory visibility [1]. R&amp;D Intensity (1/1): Active R&amp;D across carbon capture, dairy biogas collection optimization, and SAF technology pathways; above average for biofuel peers given multi-segment technology approach.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'Building Better Biofuels' is clear and connects Aemetis's work to transportation decarbonization — a genuine environmental purpose that differentiates from generic energy companies [3]. CEO Eric McAfee's 20-year commitment to bioenergy (co-founded Pacific Ethanol, founded Aemetis 2006) provides consistency. However, the mission hasn't been validated by decades of profitable execution — the company has a $639.9M accumulated deficit [2]. Community Impact (0/2): No specific charitable programs, foundation activity, or community investment identified beyond the environmental benefit of the products themselves. Employee Retention (0/2): No employee tenure or retention data available; the going concern warning and heavy debt burden create organizational uncertainty. Insider Buying (0/2): No net insider buying data identified; the $5M cash position against $404.7M total debt suggests insiders face significant dilution risk rather than accumulating shares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Passes the liquidity floor (2M avg daily volume at $1.60 = $3.2M daily dollar volume), but financial metrics are deeply distressed [4]. Negative equity of -$263.9M makes D/E and ROE calculations meaningless — the company is technically insolvent with $404.7M total debt, $342.6M classified as current, and $247.9M due on demand to Third Eye Capital [2]. Q1 2026 revenue grew 27% to $54.6M and operating loss improved 60% to $6.3M, providing the only positive metric data point [1]. Profit margin is -43.6% TTM, and management explicitly states substantial doubt about the company's ability to continue as a going concern [2]. The sole metric saving Infrastructure from zero is the strong 27%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Aemetis exhibits infinite game characteristics through CEO McAfee's 20-year commitment to bioenergy and the genuine Carbon Zero decarbonization cause, but financial survival pressures ($404.7M debt, going concern warning, $639.9M accumulated deficit) force finite game decisions. The company pursues a worthy cause with inadequate resources.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Decarbonizing transportation through below-zero carbon intensity fuels is a genuine, enduring cause that connects Aemetis's work to climate action [3]. CEO Eric McAfee's 20-year career building biofuel companies (co-founded Pacific Ethanol, founded Aemetis 2006, awarded 2026 Holmberg Award for Lifetime Achievement in the Bioeconomy) demonstrates consistency of purpose across multiple ventures and market cycles [3]. The cause is partially lived — evident in strategic decisions like pursuing -380 CI pathways rather than maximizing near-term volume — but hasn't been fully validated because the company has never been consistently profitable.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available. The going concern warning, $639.9M accumulated deficit, and $5M cash position create extreme organizational stress that typically erodes psychological safety [2]. Operating in California and India with approximately 250 employees across two major facilities, trust conditions likely vary significantly by location and are pressured by financial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Aemetis competes in a market with Neste, Diamond Green Diesel, and other large renewable fuel producers. Management positions the company based on carbon intensity differentiation (-380 CI pathways) rather than attacking competitors, and frames the competitive landscape as motivation to achieve lower carbon intensity scores [1]. The focus is on 'how low can we go' rather than 'how do we beat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Aemetis has expanded from California ethanol production into dairy RNG, India biodiesel, and now SAF technology — multiple adjacent market entries driven by the decarbonization cause [1][3]. These represent incremental diversification rather than transformative reinvention, but show strategic flexibility within the renewable fuels domain.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McAfee has persisted through massive financial adversity ($639.9M accumulated deficit, going concern warnings, $404.7M debt) while maintaining the renewable fuels vision and investing in new LCFS pathways and SAF technology [1][2]. Pursuing 7 new -380 CI pathway approvals while under going concern warning demonstrates willingness to invest in long-term capability during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Aemetis grew Q1 2026 revenue 27% to $54.6M across all three operating segments, with dairy RNG volumes reaching 110,000 MMBtu and India biodiesel generating $10.5M [1]. Operating loss improved 60% to $6.3M, and 7 new LCFS pathway approvals averaging -380 carbon intensity dramatically increase credit revenue per MMBtu. Section 45Z Production Tax Credits contributed $4.0M in Q1, creating a new federal revenue stream. CEO McAfee's 20-year bioenergy track record and 2026 Holmberg Lifetime Achievement Award validate industry expertise, and the $144M market cap against $267M annual revenue prices the stock at just 0.54x sales [3][4].</w:t>
      </w:r>
    </w:p>
    <w:p>
      <w:pPr>
        <w:spacing w:after="120"/>
      </w:pPr>
      <w:r>
        <w:rPr>
          <w:rFonts w:ascii="Calibri" w:hAnsi="Calibri"/>
          <w:b w:val="0"/>
          <w:color w:val="3A4A28"/>
          <w:sz w:val="20"/>
        </w:rPr>
        <w:t>The going concern warning is the dominant risk factor: management explicitly states substantial doubt about the company's ability to continue as a going concern [2]. Total debt of $404.7M includes $247.9M due on demand to Third Eye Capital, and the $5M cash position provides days, not months, of operating runway. The $639.9M accumulated deficit and -$263.9M negative equity represent two decades of losses that have destroyed all shareholder capital. Net loss of $77M in FY2025 (narrowing from $87.5M) still vastly exceeds operating cash generation. Any disruption to credit markets, LCFS pricing, or regulatory support (45Z tax credits are politically vulnerable) could trigger immediate liquidity failure. The stock trades at $1.60 — Nasdaq compliance is not immediately at risk, but the equity is effectively a call option on refinancing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new LCFS pathway approvals averaging -380 carbon intensity score could double credit revenue per MMBtu of RNG production, materially improving gross margins</w:t>
      </w:r>
    </w:p>
    <w:p>
      <w:pPr>
        <w:spacing w:before="40" w:after="40"/>
        <w:ind w:left="283"/>
      </w:pPr>
      <w:r>
        <w:rPr>
          <w:rFonts w:ascii="Calibri" w:hAnsi="Calibri"/>
          <w:b/>
          <w:color w:val="4A6B25"/>
          <w:sz w:val="20"/>
        </w:rPr>
        <w:t xml:space="preserve">2. </w:t>
      </w:r>
      <w:r>
        <w:rPr>
          <w:rFonts w:ascii="Calibri" w:hAnsi="Calibri"/>
          <w:b w:val="0"/>
          <w:color w:val="3A4A28"/>
          <w:sz w:val="20"/>
        </w:rPr>
        <w:t>Section 45Z Production Tax Credits ($4M in Q1 2026) provide federal revenue support that reduces dependency on volatile LCFS credit pricing</w:t>
      </w:r>
    </w:p>
    <w:p>
      <w:pPr>
        <w:spacing w:before="40" w:after="40"/>
        <w:ind w:left="283"/>
      </w:pPr>
      <w:r>
        <w:rPr>
          <w:rFonts w:ascii="Calibri" w:hAnsi="Calibri"/>
          <w:b/>
          <w:color w:val="4A6B25"/>
          <w:sz w:val="20"/>
        </w:rPr>
        <w:t xml:space="preserve">3. </w:t>
      </w:r>
      <w:r>
        <w:rPr>
          <w:rFonts w:ascii="Calibri" w:hAnsi="Calibri"/>
          <w:b w:val="0"/>
          <w:color w:val="3A4A28"/>
          <w:sz w:val="20"/>
        </w:rPr>
        <w:t>Successful debt refinancing with Third Eye Capital ($247.9M on-demand) could eliminate going concern warning and re-rate the equity from distressed to operational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$5M cash, $404.7M debt ($342.6M current), and $247.9M due on demand creates existential refinancing risk — any lender hesitation could force liquidation</w:t>
      </w:r>
    </w:p>
    <w:p>
      <w:pPr>
        <w:spacing w:before="40" w:after="40"/>
        <w:ind w:left="283"/>
      </w:pPr>
      <w:r>
        <w:rPr>
          <w:rFonts w:ascii="Calibri" w:hAnsi="Calibri"/>
          <w:b/>
          <w:color w:val="4A6B25"/>
          <w:sz w:val="20"/>
        </w:rPr>
        <w:t xml:space="preserve">2. </w:t>
      </w:r>
      <w:r>
        <w:rPr>
          <w:rFonts w:ascii="Calibri" w:hAnsi="Calibri"/>
          <w:b w:val="0"/>
          <w:color w:val="3A4A28"/>
          <w:sz w:val="20"/>
        </w:rPr>
        <w:t>Accumulated deficit of $639.9M and negative equity of -$263.9M mean existing shareholders have been fully diluted and any recovery accrues first to creditors</w:t>
      </w:r>
    </w:p>
    <w:p>
      <w:pPr>
        <w:spacing w:before="40" w:after="40"/>
        <w:ind w:left="283"/>
      </w:pPr>
      <w:r>
        <w:rPr>
          <w:rFonts w:ascii="Calibri" w:hAnsi="Calibri"/>
          <w:b/>
          <w:color w:val="4A6B25"/>
          <w:sz w:val="20"/>
        </w:rPr>
        <w:t xml:space="preserve">3. </w:t>
      </w:r>
      <w:r>
        <w:rPr>
          <w:rFonts w:ascii="Calibri" w:hAnsi="Calibri"/>
          <w:b w:val="0"/>
          <w:color w:val="3A4A28"/>
          <w:sz w:val="20"/>
        </w:rPr>
        <w:t>Political vulnerability of Section 45Z tax credits and LCFS program — regulatory rollback would eliminate the credit revenue that provides Aemetis's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Aemetis operates physical biofuel production facilities (ethanol plant, dairy RNG collection systems, India biodiesel plant) that require chemical engineering, biological processing, and regulated commodity production — AI cannot substitute physical fuel manufacturing, dairy biogas collection from farms, or ethanol distillation [1][3]. LCFS and RFS regulatory compliance creates additional structural barriers. However, the company is not AI infrastructure and does not directly benefit from AI-driven demand growth. AI Opportunity (0/1): No AI-powered products or AI-generated revenue; biofuel processing uses traditional industrial and biological methods.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Aemetis Q1 2026 Earnings Release — Revenue Growth 27%, Operating Loss Improvement, LCFS Pathway Approvals, SEC 8-K, May 2026</w:t>
      </w:r>
    </w:p>
    <w:p>
      <w:pPr>
        <w:spacing w:before="20" w:after="20"/>
        <w:ind w:left="170"/>
      </w:pPr>
      <w:r>
        <w:rPr>
          <w:rFonts w:ascii="Calibri" w:hAnsi="Calibri"/>
          <w:b/>
          <w:color w:val="4A6B25"/>
          <w:sz w:val="15"/>
        </w:rPr>
        <w:t xml:space="preserve">2. </w:t>
      </w:r>
      <w:r>
        <w:rPr>
          <w:rFonts w:ascii="Calibri" w:hAnsi="Calibri"/>
          <w:b w:val="0"/>
          <w:color w:val="3A4A28"/>
          <w:sz w:val="17"/>
        </w:rPr>
        <w:t>Aemetis FY2025 10-K and Q1 2026 10-Q — Going Concern, Debt Schedule, Accumulated Deficit, SEC Filings, 2026</w:t>
      </w:r>
    </w:p>
    <w:p>
      <w:pPr>
        <w:spacing w:before="20" w:after="20"/>
        <w:ind w:left="170"/>
      </w:pPr>
      <w:r>
        <w:rPr>
          <w:rFonts w:ascii="Calibri" w:hAnsi="Calibri"/>
          <w:b/>
          <w:color w:val="4A6B25"/>
          <w:sz w:val="15"/>
        </w:rPr>
        <w:t xml:space="preserve">3. </w:t>
      </w:r>
      <w:r>
        <w:rPr>
          <w:rFonts w:ascii="Calibri" w:hAnsi="Calibri"/>
          <w:b w:val="0"/>
          <w:color w:val="3A4A28"/>
          <w:sz w:val="17"/>
        </w:rPr>
        <w:t>Aemetis Corporate Website, CEO Eric McAfee Leadership, Carbon Zero Initiative, and 2026 Holmberg Award — aemetis.com,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Simply Wall St — AMTX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