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AON</w:t>
      </w:r>
      <w:r>
        <w:rPr>
          <w:rFonts w:ascii="Calibri" w:hAnsi="Calibri"/>
          <w:b/>
          <w:color w:val="1A2010"/>
          <w:sz w:val="40"/>
        </w:rPr>
        <w:t xml:space="preserve">  Aon plc</w:t>
      </w:r>
    </w:p>
    <w:p>
      <w:pPr>
        <w:spacing w:after="120"/>
      </w:pPr>
      <w:r>
        <w:rPr>
          <w:rFonts w:ascii="Calibri" w:hAnsi="Calibri"/>
          <w:b/>
          <w:color w:val="6E8450"/>
          <w:sz w:val="18"/>
        </w:rPr>
        <w:t>GROWTH SLEEVE · 2026-07-29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Ireland</w:t>
      </w:r>
    </w:p>
    <w:p>
      <w:pPr>
        <w:spacing w:after="80"/>
      </w:pPr>
      <w:r>
        <w:rPr>
          <w:rFonts w:ascii="Calibri" w:hAnsi="Calibri"/>
          <w:b w:val="0"/>
          <w:color w:val="3A4A28"/>
          <w:sz w:val="20"/>
        </w:rPr>
        <w:t>Aon plc is a leading global professional services firm providing risk management, insurance and reinsurance brokerage, human capital consulting, and wealth solutions. Operating through Risk Capital and Human Capital segments, Aon advises clients on commercial risk, health solutions, retirement, and investment management across 120+ countries. The $13B NFP acquisition in 2024 expanded mid-market reach significantly.</w:t>
      </w:r>
    </w:p>
    <w:p>
      <w:r>
        <w:rPr>
          <w:rFonts w:ascii="Calibri" w:hAnsi="Calibri"/>
          <w:b/>
          <w:color w:val="6E8450"/>
          <w:sz w:val="18"/>
        </w:rPr>
        <w:t>60,000 Employees · https://www.aon.com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revenue of $17.2B grew 9% YoY with 6% organic growth for the second consecutive year [1]. The $13B NFP acquisition in 2024 — largest in company history — significantly expanded Aon's addressable market into mid-market insurance and wealth management, opening major new revenue streams. Q1 2026 continued the momentum with revenue of $5.03B (+6.4%) and net income of $1.21B (+26%) [2]. AI Deployment (1/2): CEO Case describes Aon's $1.3B AI investment as 'the largest in professional services industry's history,' with an additional $1B in analytics and generative AI capabilities [3]. These tools enhance risk modeling and client analytics. However, no specific AI revenue figures or quantified cost savings have been publicly reported. Market Share (2/2): Aon is the second-largest insurance broker globally alongside Marsh McLennan, with dominant positions in reinsurance (Aon Reinsurance Solutions) and human capital consulting, serving the world's largest enterprises across 120+ countries [1]. Product Pipeline (1/2): 2026 guidance calls for mid-single-digit or greater organic revenue growth with 70-80 bps of adjusted operating margin expansion and double-digit free cash flow growth [1]. AI-driven analytics platform under active development. R&amp;D Intensity (1/1): Massive investment in proprietary risk analytics including $1.3B+ in AI and data platforms, far exceeding industry peers for professional services firms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Aon's mission to 'empower economic and human possibility for clients, colleagues and communities around the world' demonstrates genuine intentionality [4]. The purpose connects insurance brokerage to a larger vision of enabling global economic resilience, and has been consistently lived out through CEO Case's 21-year tenure and strategic decisions including the AI investment prioritizing employee effectiveness over headcount reduction. Community Impact (1/2): Aon employs 60,000 globally and has committed to net-zero GHG emissions with annual impact reporting [4]. Returned $662M to shareholders through dividends and buybacks in Q1 2026. General corporate environmental commitment without distinctive community investment programs or specific charitable dollar amounts disclosed. Employee Retention (0/2): No specific retention data, tenure metrics, or voluntary turnover rates publicly available. CEO Case explicitly emphasizes that 'technology spend without parallel investment in people fails to compound,' suggesting retention is a strategic priority, but without hard data [3]. Insider Buying (1/2): CEO Greg Case owns approximately $282M in Aon stock (768,612 shares) and made no insider transactions over the past 18 months, reflecting significant personal alignment with shareholders [5]. Other executives sold a net $24M through pre-scheduled 10b5-1 plans, typical for professional services firms.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of $17.2B with 21.5% profit margin and 32.4% adjusted operating margin reflects the high-quality, asset-light insurance brokerage model [1]. ROE of 46.94% is exceptional, driven by efficient capital deployment and share buyback-reduced equity base. Forward P/E of 18.2x is attractive for a company guiding to mid-single-digit organic growth with margin expansion [6]. D/E of 168% with approximately $16B in debt is elevated for a services firm but mitigated by approximately $3B+ in annual free cash flow providing strong interest coverage [6]. Revenue growth of approximately 8% TTM including the NFP contribution shows consistent top-line execution. Estimated PEG of approximately 2.5 reflects the mature growth profile, contributing modestly to the score. Liquidity floor easily cleared: 1.5M avg volume times $360 equals $540M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Aon under Greg Case's 21-year tenure demonstrates meaningful infinite game qualities — the consistent purpose of empowering economic possibility, the transformation from traditional broker to data-driven platform, and the courageous pivots from the failed Willis merger to the NFP acquisition. However, elevated leverage of 168% D/E reflects financial engineering, and the absence of specific evidence for employee retention and competitive learning prevent a higher rating.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Aon's purpose of 'empowering economic and human possibility for clients, colleagues and communities' connects insurance brokerage to a genuine broader vision of global economic resilience [4]. CEO Case's 21-year leadership provides rare mission continuity in professional services, and strategic decisions — including the $1.3B AI investment prioritizing employee effectiveness over headcount reduction — can be traced back to this purpose. The commitment to net-zero emissions and annual impact reporting demonstrate purpose beyond profit. However, the cause has not been tested through the kind of existential crisis that separates 2-point from 3-point Just Causes.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Case explicitly emphasizes investing in people alongside technology, stating 'technology spend without parallel investment in people fails to compound' [3]. Recent promotion of women leaders including Anne Corona as CEO of North America demonstrates commitment to diverse leadership. The 60,000-person workforce across 120+ countries requires decentralized trust. However, no specific retention data or employee tenure metrics are publicly available to verify the people-first philosophy in practice.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Aon competes directly with Marsh McLennan as the other member of the 'big two' global insurance brokers, alongside specialty and regional competitors. While the failed 2021 Willis merger and subsequent pivot to acquire NFP in 2024 demonstrate strategic adaptability, there is no specific evidence of management referencing Marsh McLennan's or other competitors' strengths as motivation for self-improvement [1]. Competitive framing focuses on market leadership and client outcomes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Case's leadership, Aon has evolved from a traditional insurance broker to a data-driven professional services platform through the $1.3B AI investment, $13B NFP acquisition, and expansion into human capital and wealth advisory [1][3]. The pivot from the failed $30B Willis merger to the $13B NFP acquisition demonstrated strategic resilience. However, the core insurance brokerage business remains the foundation — these are evolutionary additions rather than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Greg Case has demonstrated a pattern of courageous long-term bets over his 21-year tenure: leading through the 2008 financial crisis without retreating from client commitments, pursuing the ambitious $30B Willis merger and then walking away when regulators demanded excessive concessions rather than compromising [1]. He then pivoted to the $13B NFP acquisition to achieve mid-market expansion through a different path. The $1.3B AI investment — largest in professional services history — with explicit commitment to enhancing rather than replacing 60,000 employees represents a costly long-term bet on human capital over short-term cost reduction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Aon is a best-in-class global insurance broker trading at 18.2x forward earnings with a 21.5% profit margin, 46.9% ROE, and approximately $3B+ in annual free cash flow [6]. Full-year 2025 revenue of $17.2B grew 9% with 6% organic growth for the second consecutive year, and Q1 2026 delivered $5.03B revenue (+6.4%) with net income of $1.21B (+26%) [1][2]. The asset-light brokerage model generates exceptional returns on invested capital, and the $13B NFP acquisition expanded the addressable market into the mid-market segment. CEO Case's 21-year leadership and $282M personal stock ownership provide strategic continuity and alignment, while the $1.3B+ AI investment positions Aon as a technology-enabled advisor in an increasingly complex risk landscape [3][5].</w:t>
      </w:r>
    </w:p>
    <w:p>
      <w:pPr>
        <w:spacing w:after="120"/>
      </w:pPr>
      <w:r>
        <w:rPr>
          <w:rFonts w:ascii="Calibri" w:hAnsi="Calibri"/>
          <w:b w:val="0"/>
          <w:color w:val="3A4A28"/>
          <w:sz w:val="20"/>
        </w:rPr>
        <w:t>The bear case centers on leverage, valuation, and macro sensitivity. D/E of 168% with approximately $16B in debt reflects aggressive financial engineering from the NFP acquisition — while serviceable given $3B+ FCF, rising rates increase carry costs [6]. The estimated PEG of approximately 2.5 suggests mid-single-digit organic growth is largely priced into the current multiple, limiting upside unless Aon accelerates beyond guidance. Organic revenue growth of 5-6% is modest for a stock trading at premium multiples. Insurance brokerage revenue is cyclical and correlated with premium rates — a soft insurance market could compress organic growth below guidance. Integration risk from the $13B NFP acquisition remains meaningful, and the prior failed Willis merger highlights execution uncertainty around large-scale M&amp;A. The 0.83% dividend yield provides minimal income support for a $76B market cap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for mid-single-digit organic growth with 70-80 bps margin expansion and double-digit FCF growth, with Q2 2026 results expected to confirm sustained momentum [1]</w:t>
      </w:r>
    </w:p>
    <w:p>
      <w:pPr>
        <w:spacing w:before="40" w:after="40"/>
        <w:ind w:left="283"/>
      </w:pPr>
      <w:r>
        <w:rPr>
          <w:rFonts w:ascii="Calibri" w:hAnsi="Calibri"/>
          <w:b/>
          <w:color w:val="4A6B25"/>
          <w:sz w:val="20"/>
        </w:rPr>
        <w:t xml:space="preserve">2. </w:t>
      </w:r>
      <w:r>
        <w:rPr>
          <w:rFonts w:ascii="Calibri" w:hAnsi="Calibri"/>
          <w:b w:val="0"/>
          <w:color w:val="3A4A28"/>
          <w:sz w:val="20"/>
        </w:rPr>
        <w:t>NFP acquisition integration creating mid-market cross-selling opportunities and expanding the addressable market for Aon's data analytics and risk advisory platform</w:t>
      </w:r>
    </w:p>
    <w:p>
      <w:pPr>
        <w:spacing w:before="40" w:after="40"/>
        <w:ind w:left="283"/>
      </w:pPr>
      <w:r>
        <w:rPr>
          <w:rFonts w:ascii="Calibri" w:hAnsi="Calibri"/>
          <w:b/>
          <w:color w:val="4A6B25"/>
          <w:sz w:val="20"/>
        </w:rPr>
        <w:t xml:space="preserve">3. </w:t>
      </w:r>
      <w:r>
        <w:rPr>
          <w:rFonts w:ascii="Calibri" w:hAnsi="Calibri"/>
          <w:b w:val="0"/>
          <w:color w:val="3A4A28"/>
          <w:sz w:val="20"/>
        </w:rPr>
        <w:t>$1.3B+ AI and analytics investment generating measurable productivity gains across 60,000 employees, potentially accelerating organic growth and margin expansion beyond guidance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168% D/E with approximately $16B debt from the NFP acquisition creates refinancing risk in a rising rate environment and constrains strategic flexibility [6]</w:t>
      </w:r>
    </w:p>
    <w:p>
      <w:pPr>
        <w:spacing w:before="40" w:after="40"/>
        <w:ind w:left="283"/>
      </w:pPr>
      <w:r>
        <w:rPr>
          <w:rFonts w:ascii="Calibri" w:hAnsi="Calibri"/>
          <w:b/>
          <w:color w:val="4A6B25"/>
          <w:sz w:val="20"/>
        </w:rPr>
        <w:t xml:space="preserve">2. </w:t>
      </w:r>
      <w:r>
        <w:rPr>
          <w:rFonts w:ascii="Calibri" w:hAnsi="Calibri"/>
          <w:b w:val="0"/>
          <w:color w:val="3A4A28"/>
          <w:sz w:val="20"/>
        </w:rPr>
        <w:t>Insurance market cyclicality — a soft premium environment could compress organic revenue growth below mid-single-digit guidance, pressuring the valuation multiple</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from the $13B NFP acquisition with potential for margin dilution during the multi-year integration period, following the precedent of the failed $30B Willis merger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is a relationship-driven, advisory-intensive business where trust, regulatory expertise across 120+ jurisdictions, and complex deal structuring create high barriers to AI disruption [1]. Aon's proprietary data across millions of risk placements and decades of actuarial expertise represent competitive moats that AI enhances rather than replaces. Commoditized personal lines face more AI threat than Aon's complex commercial risk, reinsurance, and human capital consulting segments. However, 97% of insurers are accelerating automation, and AI-driven insurance platforms could eventually commoditize some standardized placement activities, creating moderate exposure in lower-complexity segments [3]. AI Opportunity (1/1): Aon has invested $1.3B in AI programs — described by CEO Case as the largest investment in professional services history — plus an additional $1B in analytics and generative AI, positioning the firm as an AI-enabled advisor generating meaningful AI-enhanced revenue through risk modeling and client analytics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Aon Q4 and Full Year 2025 Results — aon.mediaroom.com / Insurance Journal, January 30, 2026</w:t>
      </w:r>
    </w:p>
    <w:p>
      <w:pPr>
        <w:spacing w:before="20" w:after="20"/>
        <w:ind w:left="170"/>
      </w:pPr>
      <w:r>
        <w:rPr>
          <w:rFonts w:ascii="Calibri" w:hAnsi="Calibri"/>
          <w:b/>
          <w:color w:val="4A6B25"/>
          <w:sz w:val="15"/>
        </w:rPr>
        <w:t xml:space="preserve">2. </w:t>
      </w:r>
      <w:r>
        <w:rPr>
          <w:rFonts w:ascii="Calibri" w:hAnsi="Calibri"/>
          <w:b w:val="0"/>
          <w:color w:val="3A4A28"/>
          <w:sz w:val="17"/>
        </w:rPr>
        <w:t>Aon Q1 2026 Results — Morningstar / PR Newswire, May 1, 2026</w:t>
      </w:r>
    </w:p>
    <w:p>
      <w:pPr>
        <w:spacing w:before="20" w:after="20"/>
        <w:ind w:left="170"/>
      </w:pPr>
      <w:r>
        <w:rPr>
          <w:rFonts w:ascii="Calibri" w:hAnsi="Calibri"/>
          <w:b/>
          <w:color w:val="4A6B25"/>
          <w:sz w:val="15"/>
        </w:rPr>
        <w:t xml:space="preserve">3. </w:t>
      </w:r>
      <w:r>
        <w:rPr>
          <w:rFonts w:ascii="Calibri" w:hAnsi="Calibri"/>
          <w:b w:val="0"/>
          <w:color w:val="3A4A28"/>
          <w:sz w:val="17"/>
        </w:rPr>
        <w:t>Aon CEO Greg Case AI Strategy Commentary — Insurance Business Magazine / Reinsurance News, 2026</w:t>
      </w:r>
    </w:p>
    <w:p>
      <w:pPr>
        <w:spacing w:before="20" w:after="20"/>
        <w:ind w:left="170"/>
      </w:pPr>
      <w:r>
        <w:rPr>
          <w:rFonts w:ascii="Calibri" w:hAnsi="Calibri"/>
          <w:b/>
          <w:color w:val="4A6B25"/>
          <w:sz w:val="15"/>
        </w:rPr>
        <w:t xml:space="preserve">4. </w:t>
      </w:r>
      <w:r>
        <w:rPr>
          <w:rFonts w:ascii="Calibri" w:hAnsi="Calibri"/>
          <w:b w:val="0"/>
          <w:color w:val="3A4A28"/>
          <w:sz w:val="17"/>
        </w:rPr>
        <w:t>Aon Leadership, Mission, and Environmental Policy — aon.com,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Aon Insider Trading Data — GuruFocus / TipRanks / Motley Fool,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GuruFocus — AON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