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AOS</w:t>
      </w:r>
      <w:r>
        <w:rPr>
          <w:rFonts w:ascii="Calibri" w:hAnsi="Calibri"/>
          <w:b/>
          <w:color w:val="1A2010"/>
          <w:sz w:val="40"/>
        </w:rPr>
        <w:t xml:space="preserve">  A. O. Smith Corporation</w:t>
      </w:r>
    </w:p>
    <w:p>
      <w:pPr>
        <w:spacing w:after="120"/>
      </w:pPr>
      <w:r>
        <w:rPr>
          <w:rFonts w:ascii="Calibri" w:hAnsi="Calibri"/>
          <w:b/>
          <w:color w:val="6E8450"/>
          <w:sz w:val="18"/>
        </w:rPr>
        <w:t>DIVIDEND SLEEVE · 2026-08-02 · Inspire: 69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Specialty Industrial Machinery · NYSE · United States</w:t>
      </w:r>
    </w:p>
    <w:p>
      <w:pPr>
        <w:spacing w:after="80"/>
      </w:pPr>
      <w:r>
        <w:rPr>
          <w:rFonts w:ascii="Calibri" w:hAnsi="Calibri"/>
          <w:b w:val="0"/>
          <w:color w:val="3A4A28"/>
          <w:sz w:val="20"/>
        </w:rPr>
        <w:t>A. O. Smith Corporation manufactures and markets residential and commercial gas and electric water heaters, boilers, heat pumps, tanks, and water treatment products in North America, China, Europe, and India. Founded in 1874 and headquartered in Milwaukee, Wisconsin, the company sells products under brands including A. O. Smith, State, Lochinvar, and Hague through wholesale plumbing distributors, retail home center chains, and e-commerce channels. The 152-year-old company is a Dividend Aristocrat with 41 consecutive years of dividend growth.</w:t>
      </w:r>
    </w:p>
    <w:p>
      <w:r>
        <w:rPr>
          <w:rFonts w:ascii="Calibri" w:hAnsi="Calibri"/>
          <w:b/>
          <w:color w:val="6E8450"/>
          <w:sz w:val="18"/>
        </w:rPr>
        <w:t>11,500 Employees · https://www.aosmith.com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A.O. Smith has expanded into water treatment (point-of-use and point-of-entry filtration), heat pump water heaters aligned with electrification trends, and completed the January 2026 Leonard Valve acquisition (~$70M expected 2026 sales) expanding into thermostatic mixing valves [1][2]. North America boiler sales grew 21% in Q2 2026 driven by the Lochinvar brand [1]. These are incremental extensions rather than transformative pivots. AI Deployment (1/2): The company hired Chris Howe as Chief Digital Information Officer in 2025 to lead AI and digital transformation, planning to implement advanced data analytics and AI capabilities across manufacturing, supply chain, and product development [3]. No specific AI products shipping or quantified savings reported yet — still in 'exploration' phase. Market Share (1/2): A.O. Smith is #1 or #2 in North American water heating with leading brands (A.O. Smith, State, Lochinvar), and a major water treatment brand in China and India. However, China sales fell 28% in local currency in Q2 2026, eroding the global position [1]. Specific market share data not publicly disclosed. Product Pipeline (1/2): Heat pump water heaters driven by energy efficiency mandates and electrification trends provide pipeline visibility; Leonard Valve integration adds commercial water products. General R&amp;D activity visible but no specific next-gen product launch dates announced. R&amp;D Intensity (1/1): R&amp;D investment is above average for the industrial sector, with 152 years of continuous water heating technology innovation and meaningful investment in heat pump and water treatment technologies.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A.O. Smith's purpose centers on being 'a leading global water technology company' with values including manufacturing innovative products, being a good place to work, contributing to the well-being of communities, and preserving its good name [6]. The mission connects to the essential human need for clean, safe water, but is not distinctively inspirational — it describes what the company does and aspires to, not a vision of a future state worth sacrificing for. Community Impact (1/2): The A.O. Smith Foundation donated $1.75M to 199 nonprofit community organizations in 2023 [4]. The company maintains employee volunteer programs, aims to save 40M gallons of water annually by 2030, and publishes biennial ESG reports. Genuine but standard corporate philanthropy without extraordinary scale. Employee Retention (1/2): Only 11 CEOs in 152 years signals extraordinary leadership continuity and stable organizational culture. The orderly CEO transition from Kevin Wheeler to Steve Shafer (joined March 2024, assumed CEO July 2025) reflects deliberate succession planning [3]. However, specific frontline employee retention or tenure data is not publicly available. Insider Buying (0/2): Net insider selling of $4.8M in the last 12 months, including SVP Darrell Schuh selling 1,460 shares for $110,565 [5]. No meaningful net insider buying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Q2 2026 net sales of $1.0B beat estimates by 1.8% with adjusted EPS of $1.03 (beat by 7.3%), driven by North America +5% and 21% boiler growth, offset by China -28% in local currency [1]. Full-year 2026 guidance was narrowed to $3.90-3.95B revenue (was $3.9-4.02B) and $3.70-3.85 adjusted EPS (was $3.85-4.15), reflecting persistent China weakness [1][2]. D/E of 35% remains well below the 70% target despite the Leonard Valve acquisition adding debt ($656.9M debt, $203.9M cash) [5]. ROE of 28.3% substantially exceeds the 15% target. Forward P/E of 15.77x is attractively valued below the 20x target. Profit margin of 13.84% falls short of the 20% target. Revenue growth YoY of 0.3% (FY2025) and 5-year CAGR of ~5.7% are weak. Dividend metrics are outstanding: 38% payout ratio, 41 consecutive years of growth (Dividend Aristocat), and ~7.1% 5-year dividend growth CAGR [5]. Liquidity strong at $61 × 1.57M shares = ~$95M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A.O. Smith demonstrates solid infinite game characteristics rooted in 152 years of continuous operation and only 11 CEOs in its history. The company plays to endure in the essential water technology market, maintaining disciplined capital allocation, 41 consecutive years of dividend growth, and orderly leadership succession. However, the company's purpose — while connected to essential human needs — lacks the bold, transformative vision that characterizes the strongest infinite game players, and China weakness has led to guidance reductions rather than long-term strategic investment through the cycle.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A.O. Smith's purpose — delivering innovative water technology to improve lives — connects the company's work to the essential human need for clean, safe, hot water [6]. The 152-year operating history demonstrates that this purpose has guided consistent strategic decisions across 11 CEOs and multiple economic cycles. The company's water sustainability goal (save 40M gallons annually by 2030) extends the cause beyond products to environmental stewardship [4]. However, the cause is solid industrial purpose rather than a bold vision of a future state — the company has endured because water heating is essential, not because the cause itself is a transformative competitive advantage.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Having only 11 CEOs in 152 years signals extraordinary leadership continuity and stable organizational culture [3]. The orderly CEO transition from Wheeler to Shafer — with a 16-month overlap — reflects a deliberate succession process that builds institutional trust. The company's 100% documented development plans for salaried employees indicates investment in people [4]. However, specific data on employee turnover, average tenure, or cultural practices creating exceptional trust is not publicly available.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A.O. Smith competes against Rheem, Bradford White, and Rinnai in water heating without framing competition in terms of market domination or rival destruction. Management commentary focuses on product innovation, energy efficiency leadership, and geographic expansion rather than competitive warfare [1]. The company's consistent focus on improving its own products and entering adjacent markets reflects a learning-oriented competitive mindset.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A.O. Smith has evolved meaningfully over 152 years — from a small Milwaukee manufacturer to a global water technology company with significant operations in China and India. The expansion from pure water heating into water treatment and the current pivot toward heat pump technology and electrification represent strategic adaptation [1]. The creation of a CDIO role for digital transformation shows willingness to evolve [3]. However, these are evolutionary extensions of the core water business rather than transformative existential pivots.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A.O. Smith has made measured long-term bets, including aggressive expansion into China's water treatment market requiring significant capital commitment amid uncertain regulatory dynamics. The January 2026 Leonard Valve acquisition and maintained dividend growth through the China downturn (-28% Q2 local currency sales) demonstrate willingness to invest even as earnings guidance is reduced [1][2]. The sustained R&amp;D investment in heat pump technology positions the company for electrification trends. However, the FY2026 guidance reduction from $3.85-4.15 to $3.70-3.85 EPS suggests managing to near-term expectations rather than investing aggressively through the cycle.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A.O. Smith is a 152-year-old industrial franchise with dominant positions in North American water heating and growing water treatment operations globally. Q2 2026 delivered $1.0B sales (beat estimates by 1.8%) and adjusted EPS of $1.03 (beat by 7.3%), with North America up 5% driven by 21% boiler growth at Lochinvar [1]. At 15.77x forward P/E and 1.31x PEG, the stock is attractively valued for a business with 28.3% ROE, a conservative balance sheet (35% D/E), and 41 consecutive years of dividend growth at a 7.1% 5-year CAGR yielding 2.36% [5]. The Leonard Valve acquisition adds ~$70M in 2026 revenue, heat pump water heater demand driven by electrification mandates provides a secular growth tailwind, and the CDIO hire signals commitment to AI-driven operational optimization [3].</w:t>
      </w:r>
    </w:p>
    <w:p>
      <w:pPr>
        <w:spacing w:after="120"/>
      </w:pPr>
      <w:r>
        <w:rPr>
          <w:rFonts w:ascii="Calibri" w:hAnsi="Calibri"/>
          <w:b w:val="0"/>
          <w:color w:val="3A4A28"/>
          <w:sz w:val="20"/>
        </w:rPr>
        <w:t>The bear case centers on A.O. Smith's deteriorating growth profile and severe China weakness. Full-year 2026 guidance was lowered from $3.85-$4.15 to $3.70-$3.85 EPS, and revenue guidance was narrowed to $3.90-3.95B from $3.9-4.02B, reflecting persistent China headwinds where Q2 sales dropped 28% in local currency [1][2]. Revenue growth was essentially flat in FY2025 (0.3%) and the 5-year CAGR of 5.7% reflects the mature nature of the water heater replacement cycle in developed markets [5]. Profit margin of 13.84% trails the industrial sector leaders, and the stock has declined 12% over the past 52 weeks as investors reprice the China risk. D/E increased to 35% from ~11% following the Leonard Valve acquisition. Net insider selling of $4.8M in the last 12 months suggests management confidence is waning [5]. The China property market downturn could persist for years, constraining the geographic diversification that is central to the long-term growth thesis.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North America boiler sales growing 21% YoY and Leonard Valve acquisition contributing ~$70M in revenue, providing organic and inorganic growth offset to China weakness [1]</w:t>
      </w:r>
    </w:p>
    <w:p>
      <w:pPr>
        <w:spacing w:before="40" w:after="40"/>
        <w:ind w:left="283"/>
      </w:pPr>
      <w:r>
        <w:rPr>
          <w:rFonts w:ascii="Calibri" w:hAnsi="Calibri"/>
          <w:b/>
          <w:color w:val="4A6B25"/>
          <w:sz w:val="20"/>
        </w:rPr>
        <w:t xml:space="preserve">2. </w:t>
      </w:r>
      <w:r>
        <w:rPr>
          <w:rFonts w:ascii="Calibri" w:hAnsi="Calibri"/>
          <w:b w:val="0"/>
          <w:color w:val="3A4A28"/>
          <w:sz w:val="20"/>
        </w:rPr>
        <w:t>Heat pump water heater demand driven by energy efficiency mandates and electrification trends, supported by CDIO-led digital transformation for smart/connected water products [3]</w:t>
      </w:r>
    </w:p>
    <w:p>
      <w:pPr>
        <w:spacing w:before="40" w:after="40"/>
        <w:ind w:left="283"/>
      </w:pPr>
      <w:r>
        <w:rPr>
          <w:rFonts w:ascii="Calibri" w:hAnsi="Calibri"/>
          <w:b/>
          <w:color w:val="4A6B25"/>
          <w:sz w:val="20"/>
        </w:rPr>
        <w:t xml:space="preserve">3. </w:t>
      </w:r>
      <w:r>
        <w:rPr>
          <w:rFonts w:ascii="Calibri" w:hAnsi="Calibri"/>
          <w:b w:val="0"/>
          <w:color w:val="3A4A28"/>
          <w:sz w:val="20"/>
        </w:rPr>
        <w:t>41 consecutive years of dividend growth with 2.36% yield and 38% payout ratio, providing reliable total shareholder return in a low-growth environment; potential share repurchase program supplementing returns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China sales collapsed 28% in local currency in Q2 2026, forcing full-year guidance reduction to $3.70-3.85 EPS from $3.85-4.15 — China property market weakness could persist for years and drag on the geographic diversification strategy [1][2]</w:t>
      </w:r>
    </w:p>
    <w:p>
      <w:pPr>
        <w:spacing w:before="40" w:after="40"/>
        <w:ind w:left="283"/>
      </w:pPr>
      <w:r>
        <w:rPr>
          <w:rFonts w:ascii="Calibri" w:hAnsi="Calibri"/>
          <w:b/>
          <w:color w:val="4A6B25"/>
          <w:sz w:val="20"/>
        </w:rPr>
        <w:t xml:space="preserve">2. </w:t>
      </w:r>
      <w:r>
        <w:rPr>
          <w:rFonts w:ascii="Calibri" w:hAnsi="Calibri"/>
          <w:b w:val="0"/>
          <w:color w:val="3A4A28"/>
          <w:sz w:val="20"/>
        </w:rPr>
        <w:t>Flat organic revenue growth profile (0.3% YoY in FY2025, ~5.7% 5-year CAGR) reflects the mature water heater replacement cycle with limited upside beyond low-single-digit growth in developed markets [5]</w:t>
      </w:r>
    </w:p>
    <w:p>
      <w:pPr>
        <w:spacing w:before="40" w:after="40"/>
        <w:ind w:left="283"/>
      </w:pPr>
      <w:r>
        <w:rPr>
          <w:rFonts w:ascii="Calibri" w:hAnsi="Calibri"/>
          <w:b/>
          <w:color w:val="4A6B25"/>
          <w:sz w:val="20"/>
        </w:rPr>
        <w:t xml:space="preserve">3. </w:t>
      </w:r>
      <w:r>
        <w:rPr>
          <w:rFonts w:ascii="Calibri" w:hAnsi="Calibri"/>
          <w:b w:val="0"/>
          <w:color w:val="3A4A28"/>
          <w:sz w:val="20"/>
        </w:rPr>
        <w:t>Net insider selling of $4.8M in last 12 months and 12% stock decline over 52 weeks signal waning confidence in near-term earnings trajectory; tariff risks on imported components could further compress 13.84% profit margins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A.O. Smith's core business — manufacturing physical water heaters, boilers, and water treatment systems — is structurally immune to AI disruption. These are essential physical products requiring precision manufacturing, plumbing installation, and regulatory compliance (UL, CSA, energy efficiency standards) that AI cannot replace [1]. The water heater replacement cycle is driven by product failure, building codes, and housing construction — all physical-world activities. Distribution through wholesale plumbing channels involves complex logistics and skilled trade relationships that resist digital disintermediation. AI data center expansion may even increase demand for commercial water heating and cooling systems. The China and India water treatment businesses face some competitive pressure from digital-native brands but physical product and installation requirements provide meaningful protection. AI Opportunity (0/1): The CDIO hire demonstrates intentional AI investment for manufacturing optimization and smart product development, but A.O. Smith does not currently generate quantifiable revenue from AI-powered products or services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 O. Smith Q2 2026 Earnings Release — prnewswire.com, July 30, 2026; $1.0B sales, adjusted EPS $1.03, North America +5%, China -28%, boiler growth +21%</w:t>
      </w:r>
    </w:p>
    <w:p>
      <w:pPr>
        <w:spacing w:before="20" w:after="20"/>
        <w:ind w:left="170"/>
      </w:pPr>
      <w:r>
        <w:rPr>
          <w:rFonts w:ascii="Calibri" w:hAnsi="Calibri"/>
          <w:b/>
          <w:color w:val="4A6B25"/>
          <w:sz w:val="15"/>
        </w:rPr>
        <w:t xml:space="preserve">2. </w:t>
      </w:r>
      <w:r>
        <w:rPr>
          <w:rFonts w:ascii="Calibri" w:hAnsi="Calibri"/>
          <w:b w:val="0"/>
          <w:color w:val="3A4A28"/>
          <w:sz w:val="17"/>
        </w:rPr>
        <w:t>A. O. Smith Q1 2026 Results and Lowered FY2026 Outlook — investor.aosmith.com, April 2026; guidance narrowed to $3.90-3.95B revenue, $3.70-3.85 EPS</w:t>
      </w:r>
    </w:p>
    <w:p>
      <w:pPr>
        <w:spacing w:before="20" w:after="20"/>
        <w:ind w:left="170"/>
      </w:pPr>
      <w:r>
        <w:rPr>
          <w:rFonts w:ascii="Calibri" w:hAnsi="Calibri"/>
          <w:b/>
          <w:color w:val="4A6B25"/>
          <w:sz w:val="15"/>
        </w:rPr>
        <w:t xml:space="preserve">3. </w:t>
      </w:r>
      <w:r>
        <w:rPr>
          <w:rFonts w:ascii="Calibri" w:hAnsi="Calibri"/>
          <w:b w:val="0"/>
          <w:color w:val="3A4A28"/>
          <w:sz w:val="17"/>
        </w:rPr>
        <w:t>A. O. Smith CDIO Chris Howe Hire for AI/Digital Transformation — biztimes.com, prnewswire.com, 2025</w:t>
      </w:r>
    </w:p>
    <w:p>
      <w:pPr>
        <w:spacing w:before="20" w:after="20"/>
        <w:ind w:left="170"/>
      </w:pPr>
      <w:r>
        <w:rPr>
          <w:rFonts w:ascii="Calibri" w:hAnsi="Calibri"/>
          <w:b/>
          <w:color w:val="4A6B25"/>
          <w:sz w:val="15"/>
        </w:rPr>
        <w:t xml:space="preserve">4. </w:t>
      </w:r>
      <w:r>
        <w:rPr>
          <w:rFonts w:ascii="Calibri" w:hAnsi="Calibri"/>
          <w:b w:val="0"/>
          <w:color w:val="3A4A28"/>
          <w:sz w:val="17"/>
        </w:rPr>
        <w:t>A. O. Smith ESG, Sustainability, Community — aosmith.com; Foundation $1.75M to 199 nonprofits (2023), 40M gallon water savings goal by 2030</w:t>
      </w:r>
    </w:p>
    <w:p>
      <w:pPr>
        <w:spacing w:before="20" w:after="20"/>
        <w:ind w:left="170"/>
      </w:pPr>
      <w:r>
        <w:rPr>
          <w:rFonts w:ascii="Calibri" w:hAnsi="Calibri"/>
          <w:b/>
          <w:color w:val="4A6B25"/>
          <w:sz w:val="15"/>
        </w:rPr>
        <w:t xml:space="preserve">5. </w:t>
      </w:r>
      <w:r>
        <w:rPr>
          <w:rFonts w:ascii="Calibri" w:hAnsi="Calibri"/>
          <w:b w:val="0"/>
          <w:color w:val="3A4A28"/>
          <w:sz w:val="17"/>
        </w:rPr>
        <w:t>StockAnalysis.com, GuruFocus — AOS Key Statistics, Financial Data, Insider Transactions, accessed August 2026</w:t>
      </w:r>
    </w:p>
    <w:p>
      <w:pPr>
        <w:spacing w:before="20" w:after="20"/>
        <w:ind w:left="170"/>
      </w:pPr>
      <w:r>
        <w:rPr>
          <w:rFonts w:ascii="Calibri" w:hAnsi="Calibri"/>
          <w:b/>
          <w:color w:val="4A6B25"/>
          <w:sz w:val="15"/>
        </w:rPr>
        <w:t xml:space="preserve">6. </w:t>
      </w:r>
      <w:r>
        <w:rPr>
          <w:rFonts w:ascii="Calibri" w:hAnsi="Calibri"/>
          <w:b w:val="0"/>
          <w:color w:val="3A4A28"/>
          <w:sz w:val="17"/>
        </w:rPr>
        <w:t>A. O. Smith Vision, Mission and Values — aosmith.com</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