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AVGO</w:t>
      </w:r>
      <w:r>
        <w:rPr>
          <w:rFonts w:ascii="Calibri" w:hAnsi="Calibri"/>
          <w:b/>
          <w:color w:val="1A2010"/>
          <w:sz w:val="40"/>
        </w:rPr>
        <w:t xml:space="preserve">  Broadcom Inc.</w:t>
      </w:r>
    </w:p>
    <w:p>
      <w:pPr>
        <w:spacing w:after="120"/>
      </w:pPr>
      <w:r>
        <w:rPr>
          <w:rFonts w:ascii="Calibri" w:hAnsi="Calibri"/>
          <w:b/>
          <w:color w:val="6E8450"/>
          <w:sz w:val="18"/>
        </w:rPr>
        <w:t>GROWTH SLEEVE · 2026-08-14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Broadcom designs, develops, and supplies semiconductor devices and infrastructure software solutions. The company operates in two segments: Semiconductor Solutions (custom AI accelerators/XPUs, networking switches, wireless, broadband, storage) and Infrastructure Software (VMware Cloud Foundation, cybersecurity, mainframe software). Under CEO Hock Tan's 20-year leadership, the company transformed from mid-size Avago Technologies into a $1.97 trillion semiconductor-plus-software platform through strategic acquisitions including the $69B VMware deal. Q2 FY2026 revenue reached $22.2B (+48% YoY) with AI semiconductor revenue of $10.8B (+143%). Headquartered in Palo Alto, California.</w:t>
      </w:r>
    </w:p>
    <w:p>
      <w:r>
        <w:rPr>
          <w:rFonts w:ascii="Calibri" w:hAnsi="Calibri"/>
          <w:b/>
          <w:color w:val="6E8450"/>
          <w:sz w:val="18"/>
        </w:rPr>
        <w:t>33,000 Employees · https://www.broadcom.com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Broadcom executed one of technology's most transformative acquisition strategies — the $37B Avago-Broadcom reverse merger (2016), CA Technologies ($18.9B, 2018), Symantec enterprise ($10.7B, 2019), and the $69B VMware acquisition (2023) — each fundamentally redefining the company's identity and business model [1]. The AI accelerator business grew 143% YoY in Q2 FY2026 to $10.8B, validating the company's pivot into custom silicon for hyperscalers including Google (TPU), Meta, and ByteDance [1]. AI Deployment (2/2): AI semiconductor revenue reached $10.8B in Q2 FY2026 alone, up from $4.4B in Q2 FY2025, representing 143% YoY growth — one of the largest quantifiable AI revenue streams in the semiconductor industry [1]. Custom XPUs power AI training and inference at hyperscale customers, while Tomahawk and Jericho networking switches form the backbone of AI data center fabrics. Market Share (2/2): Broadcom holds dominant positions across multiple AI infrastructure categories: leading custom AI accelerator designer for hyperscalers (alongside Marvell), dominant position in Ethernet networking switches for AI data centers (Tomahawk/Jericho families), and the primary alternative to NVIDIA InfiniBand for AI cluster interconnect [1][2]. Product Pipeline (1/2): The industry's first 2-nanometer AI XPU with 3.5D packaging was announced, and next-generation networking silicon and optical interconnect products are in development for multiple hyperscaler customers [2]. However, specific product names, launch dates, and revenue targets for next-gen products are less detailed than peers like NVIDIA's Rubin platform roadmap. R&amp;D Intensity (1/1): R&amp;D spending exceeds $8B annually across the combined Broadcom-VMware engineering organization, above the semiconductor industry average and reflecting massive investment in custom silicon, networking, and enterprise software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Broadcom's stated purpose focuses on 'connecting everything' through semiconductor and infrastructure software innovation — clear and relevant but not distinctive, essentially describing what the company does commercially rather than articulating a transformative vision for the future [3]. Hock Tan's leadership philosophy centers on operational excellence and disciplined capital allocation, not a cause that inspires sacrifice. Community Impact (2/2): The Broadcom Foundation, created in 2009, operates distinctive STEM education programs including Broadcom Coding with Commitment, which encourages middle schoolers to combine coding skills and AI tools to solve community problems aligned with the 17 UN Sustainable Development Goals [4]. The Foundation funds science fairs, supports STEM research, and invests in community organizations in areas where Broadcom employees live and work. Employee Retention (0/2): Glassdoor ratings of 3.3/5 overall with only 49% recommending the company; culture and values rated 2.7/5, significantly below tech industry averages [5]. Post-VMware acquisition integration involved headcount reductions of approximately 50% of VMware's workforce, and employees describe a metrics-over-people culture. This is specific evidence of below-average employee sentiment and frequent acquisition-related layoffs. Insider Buying (0/2): President Hock Tan sold $50M in shares at $337/share over the past year. Chief Legal Officer Mark Brazeal sold $9.7M at $387/share in June 2026. Director Harry You made a modest purchase of 1,000 shares ($374K) — net insider selling is clear despite significant total insider ownership of 1.1% (~$20B)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Broadcom's financial profile is exceptional across virtually every measured dimension. D/E of 74% has improved from 82.7% as the company deleverages post-VMware, scoring 0.98 against the 70% target [6]. ROE of 37.28% is well above the 15% target (score 1.0, 2x weight) [6]. Revenue growth of 48% YoY in Q2 FY2026 massively exceeds the 10% target (score 1.0), and the estimated 5-year revenue CAGR of ~22% driven by both AI semiconductor growth and VMware integration easily exceeds targets (score 1.0, 2x weight) [1]. Forward P/E of 21.97 is slightly above the 20 target (score 0.95) [6]. Profit margin of 36.57% nearly doubles the 20% target (score 1.0) [6]. Forward PEG of 0.56 is well below the 1.0 target, indicating the market is significantly underpricing growth relative to earnings trajectory (score 1.0, 2x weight) [6]. Liquidity: $7.0B daily trading volume (16.85M shares at $416.08)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Broadcom operates with a mixed infinite-finite mindset. Hock Tan has built an extraordinarily durable platform through disciplined acquisitions and operational excellence over two decades, demonstrating exceptional existential flexibility by pivoting from a mid-size chip company to a $1.97T semiconductor-plus-software powerhouse. The courage to make multiple multi-billion-dollar bets — each questioned by Wall Street — and the willingness to enter entirely new markets (enterprise software, custom AI accelerators) reflect genuine infinite-game thinking in capital allocation. However, the company lacks a Just Cause beyond shareholder value creation, the aggressive cost-cutting culture at acquired companies creates a low-trust environment for affected employees, and the VMware licensing controversies suggest extraction-oriented behavior that Sinek would identify as finite-game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Broadcom's implicit purpose of 'connecting everything' through technology is functional but not a Just Cause in Sinek's framework. Hock Tan's leadership philosophy is explicitly financial — maximizing shareholder returns through disciplined capital allocation, operational efficiency, and pricing power [3]. Strategic decisions are driven by IRR calculations and market opportunity, not a vision of a better future. The VMware licensing controversy — forcing subscription-only models, eliminating perpetual licenses, and raising prices by 2-3x for some customers — demonstrates behavior inconsistent with a purpose-driven company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of 3.3/5 overall and 2.7/5 for culture/values suggest an adequate but uninspiring trust environment [5]. Post-VMware integration involved headcount reductions of approximately 50%, with employees at acquired companies historically expecting significant cuts — creating a conditional trust environment where core Broadcom teams are stable but acquired teams face uncertainty. CEO Tan's 20-year tenure and consistent leadership provide organizational stability, and the core semiconductor engineering culture retains strong talent through competitive compensation. The environment is adequate for the core team but falls short of Sinek's Circle of Safety standard.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Broadcom demonstrates an infinite competitive mindset — rather than trying to compete head-to-head with NVIDIA in general-purpose AI GPUs, the company carved a complementary position in custom AI accelerators (XPUs) and networking, learning from NVIDIA's ecosystem strength and finding its own strategic lane [2]. Management acknowledges competition from Marvell and others constructively, and the partnership approach with hyperscalers (designing custom chips FOR customers rather than selling standard products AT them) reflects collaborative competition oriented toward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Broadcom's transformation is a textbook example of existential flexibility. Under Hock Tan, the company reinvented itself multiple times: from niche Avago Technologies to diversified semiconductor company (Broadcom acquisition, 2016), then into enterprise software (CA Technologies, 2018; Symantec, 2019), then into infrastructure software platform (VMware, 2023), and concurrently into custom AI accelerator leader [1][3]. Each pivot fundamentally redefined the company's identity, required billions in financing, and created capabilities that did not previously exist. The willingness to acquire a company twice its size (Broadcom Corp.) and later make the largest tech acquisition in history (VMware) demonstrates extraordinary strategic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Hock Tan has established one of technology's clearest patterns of courageous capital allocation. The $37B Avago-Broadcom reverse merger (2016) — acquiring a company twice Avago's size — was considered audacious. CA Technologies ($18.9B, 2018) was Broadcom's entry into enterprise software and was widely questioned by Wall Street. The $69B VMware acquisition (2023) required taking on massive debt during a high-interest-rate environment [3]. Each bet was contrarian, heavily scrutinized, and generated exceptional returns. Heavy investment in custom AI accelerators before the AI boom proved the market demonstrates long-term conviction. Broadcom consistently chooses long-term capability (building a diversified platform) over short-term financial optimization (remaining a pure-play semiconductor company with higher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Broadcom is the rare $1.97T company still growing revenue at nearly 50% annually, driven by explosive AI semiconductor demand. Q2 FY2026 revenue of $22.2B (+48% YoY) with AI semiconductor revenue of $10.8B (+143% YoY) demonstrates accelerating momentum at massive scale [1]. The VMware integration is generating substantial operating leverage with 76.1% gross margins and 36.6% net margins, and the combined semiconductor-plus-software model creates recurring revenue streams that reduce cyclicality. At a forward PEG of 0.56, the market is significantly underpricing Broadcom's growth trajectory — the stock is trading below its historical valuation averages despite accelerating fundamentals [6]. D/E has improved to 74% as the company deleverages rapidly, ROE exceeds 37%, and free cash flow generation is at record levels. The custom XPU design wins with Google, Meta, and ByteDance provide multi-year revenue visibility as these hyperscalers scale AI training infrastructure [2].</w:t>
      </w:r>
    </w:p>
    <w:p>
      <w:pPr>
        <w:spacing w:after="120"/>
      </w:pPr>
      <w:r>
        <w:rPr>
          <w:rFonts w:ascii="Calibri" w:hAnsi="Calibri"/>
          <w:b w:val="0"/>
          <w:color w:val="3A4A28"/>
          <w:sz w:val="20"/>
        </w:rPr>
        <w:t>The primary risk is customer concentration — Broadcom's custom AI accelerator business depends heavily on a handful of hyperscalers, and any shift in their build-vs-buy calculus or slowdown in AI spending could compress revenue significantly [2]. The $64.9B debt load (against $19.6B cash) is substantial despite active deleveraging, and any disruption to the VMware software revenue stream could slow debt reduction [6]. The trailing P/E of 84x reflects market optimism that may be fragile if AI spending growth decelerates — any miss on the implied ~$95B FY2026 revenue trajectory could trigger significant multiple compression [1]. CEO Hock Tan's $50M in insider sales over the past year, while common for large equity-compensated executives, contrasts with the bullish narrative [5]. The VMware licensing controversy — forcing subscription-only models and eliminating perpetual licenses — has created customer dissatisfaction that could drive migration to alternatives (Nutanix, public cloud) over time [4]. Employee culture concerns (Glassdoor 2.7/5 for culture, post-acquisition layoffs) create long-term talent retention risk in critical semiconductor design roles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semiconductor revenue exceeding $40B in FY2026 as hyperscaler custom XPU deployments scale, with next-gen 2nm AI chips and expanded optical interconnect capacity providing a multi-year growth runway [1][2]</w:t>
      </w:r>
    </w:p>
    <w:p>
      <w:pPr>
        <w:spacing w:before="40" w:after="40"/>
        <w:ind w:left="283"/>
      </w:pPr>
      <w:r>
        <w:rPr>
          <w:rFonts w:ascii="Calibri" w:hAnsi="Calibri"/>
          <w:b/>
          <w:color w:val="4A6B25"/>
          <w:sz w:val="20"/>
        </w:rPr>
        <w:t xml:space="preserve">2. </w:t>
      </w:r>
      <w:r>
        <w:rPr>
          <w:rFonts w:ascii="Calibri" w:hAnsi="Calibri"/>
          <w:b w:val="0"/>
          <w:color w:val="3A4A28"/>
          <w:sz w:val="20"/>
        </w:rPr>
        <w:t>VMware Cloud Foundation adoption accelerating as enterprises deploy private AI infrastructure, with CEO Hock Tan noting AI is 'accelerating' rather than disrupting the software business — creating a high-margin recurring revenue stream [2]</w:t>
      </w:r>
    </w:p>
    <w:p>
      <w:pPr>
        <w:spacing w:before="40" w:after="40"/>
        <w:ind w:left="283"/>
      </w:pPr>
      <w:r>
        <w:rPr>
          <w:rFonts w:ascii="Calibri" w:hAnsi="Calibri"/>
          <w:b/>
          <w:color w:val="4A6B25"/>
          <w:sz w:val="20"/>
        </w:rPr>
        <w:t xml:space="preserve">3. </w:t>
      </w:r>
      <w:r>
        <w:rPr>
          <w:rFonts w:ascii="Calibri" w:hAnsi="Calibri"/>
          <w:b w:val="0"/>
          <w:color w:val="3A4A28"/>
          <w:sz w:val="20"/>
        </w:rPr>
        <w:t>Forward PEG of 0.56 and D/E deleveraging to 74% suggest the stock is undervalued relative to growth, with continued AI revenue acceleration potentially driving re-rating as the market recognizes the platform's earnings power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in custom AI accelerators — top 3 hyperscaler customers (Google, Meta, ByteDance) likely represent 60%+ of AI semiconductor revenue, and loss of a single design win or in-house chip development by customers could remove billions in annual revenue [2]</w:t>
      </w:r>
    </w:p>
    <w:p>
      <w:pPr>
        <w:spacing w:before="40" w:after="40"/>
        <w:ind w:left="283"/>
      </w:pPr>
      <w:r>
        <w:rPr>
          <w:rFonts w:ascii="Calibri" w:hAnsi="Calibri"/>
          <w:b/>
          <w:color w:val="4A6B25"/>
          <w:sz w:val="20"/>
        </w:rPr>
        <w:t xml:space="preserve">2. </w:t>
      </w:r>
      <w:r>
        <w:rPr>
          <w:rFonts w:ascii="Calibri" w:hAnsi="Calibri"/>
          <w:b w:val="0"/>
          <w:color w:val="3A4A28"/>
          <w:sz w:val="20"/>
        </w:rPr>
        <w:t>Trailing P/E of 84x prices in aggressive growth assumptions — any deceleration in AI infrastructure spending, competitive pressure from NVIDIA's expanding custom silicon offerings, or hyperscaler capex cuts could trigger significant multiple compression [1][6]</w:t>
      </w:r>
    </w:p>
    <w:p>
      <w:pPr>
        <w:spacing w:before="40" w:after="40"/>
        <w:ind w:left="283"/>
      </w:pPr>
      <w:r>
        <w:rPr>
          <w:rFonts w:ascii="Calibri" w:hAnsi="Calibri"/>
          <w:b/>
          <w:color w:val="4A6B25"/>
          <w:sz w:val="20"/>
        </w:rPr>
        <w:t xml:space="preserve">3. </w:t>
      </w:r>
      <w:r>
        <w:rPr>
          <w:rFonts w:ascii="Calibri" w:hAnsi="Calibri"/>
          <w:b w:val="0"/>
          <w:color w:val="3A4A28"/>
          <w:sz w:val="20"/>
        </w:rPr>
        <w:t>VMware licensing controversy and aggressive post-acquisition cost-cutting (50% headcount reduction) create dual risks: customer migration to alternatives and talent attrition in critical engineering roles, with Glassdoor culture rating of 2.7/5 signaling organizational stress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Broadcom IS AI infrastructure — its custom XPUs power AI training at Google (TPU), Meta, and ByteDance, while Tomahawk and Jericho networking switches form the backbone of AI data center fabrics [1][2]. AI cannot disrupt a company that designs the physical silicon and networking hardware AI runs on; every dollar spent on AI infrastructure directly increases demand for Broadcom products. CEO Hock Tan stated on the Q2 FY2026 earnings call that AI is 'not disrupting' the software business but rather 'accelerating' it, as the AI infrastructure boom drives VMware Cloud Foundation adoption for enterprise AI deployments [2]. The combination of custom AI accelerators, optical interconnects, networking silicon, and enterprise virtualization software makes Broadcom structurally immune to AI disruption across both segments. AI Opportunity (1/1): AI semiconductor revenue reached $10.8B in Q2 FY2026 (+143% YoY), with full-year AI revenue expected to exceed $40B — AI is now the dominant revenue driver for the semiconductor segment, representing approximately half of semiconductor revenue and growing at triple-digit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Broadcom Q2 FY2026 Earnings Release — Revenue $22.187B (+48% YoY), AI Semiconductor Revenue $10.8B (+143%), Record Free Cash Flow, TTM Revenue $75.5B (+32%), June 2026</w:t>
      </w:r>
    </w:p>
    <w:p>
      <w:pPr>
        <w:spacing w:before="20" w:after="20"/>
        <w:ind w:left="170"/>
      </w:pPr>
      <w:r>
        <w:rPr>
          <w:rFonts w:ascii="Calibri" w:hAnsi="Calibri"/>
          <w:b/>
          <w:color w:val="4A6B25"/>
          <w:sz w:val="15"/>
        </w:rPr>
        <w:t xml:space="preserve">2. </w:t>
      </w:r>
      <w:r>
        <w:rPr>
          <w:rFonts w:ascii="Calibri" w:hAnsi="Calibri"/>
          <w:b w:val="0"/>
          <w:color w:val="3A4A28"/>
          <w:sz w:val="17"/>
        </w:rPr>
        <w:t>Broadcom AI Strategy and Competition — CEO Hock Tan on AI Not Disrupting Software, Custom XPU Design Wins (Google/Meta/ByteDance), Tomahawk Networking — StartupHub.ai, GoldSea, Yahoo Finance, June-July 2026</w:t>
      </w:r>
    </w:p>
    <w:p>
      <w:pPr>
        <w:spacing w:before="20" w:after="20"/>
        <w:ind w:left="170"/>
      </w:pPr>
      <w:r>
        <w:rPr>
          <w:rFonts w:ascii="Calibri" w:hAnsi="Calibri"/>
          <w:b/>
          <w:color w:val="4A6B25"/>
          <w:sz w:val="15"/>
        </w:rPr>
        <w:t xml:space="preserve">3. </w:t>
      </w:r>
      <w:r>
        <w:rPr>
          <w:rFonts w:ascii="Calibri" w:hAnsi="Calibri"/>
          <w:b w:val="0"/>
          <w:color w:val="3A4A28"/>
          <w:sz w:val="17"/>
        </w:rPr>
        <w:t>Broadcom Corporate History and Leadership — CEO Hock Tan Since 2006, Acquisition Strategy (Broadcom $37B, CA $18.9B, Symantec $10.7B, VMware $69B) — Alpha Spread, Broadcom.com, 2026</w:t>
      </w:r>
    </w:p>
    <w:p>
      <w:pPr>
        <w:spacing w:before="20" w:after="20"/>
        <w:ind w:left="170"/>
      </w:pPr>
      <w:r>
        <w:rPr>
          <w:rFonts w:ascii="Calibri" w:hAnsi="Calibri"/>
          <w:b/>
          <w:color w:val="4A6B25"/>
          <w:sz w:val="15"/>
        </w:rPr>
        <w:t xml:space="preserve">4. </w:t>
      </w:r>
      <w:r>
        <w:rPr>
          <w:rFonts w:ascii="Calibri" w:hAnsi="Calibri"/>
          <w:b w:val="0"/>
          <w:color w:val="3A4A28"/>
          <w:sz w:val="17"/>
        </w:rPr>
        <w:t>Broadcom Foundation and ESG — STEM Education Programs, Coding with Commitment, VMware Licensing Controversy, Environmental Impact Assessment — CSRwire, BroadcomFoundation.org, Origina, 2024-2026</w:t>
      </w:r>
    </w:p>
    <w:p>
      <w:pPr>
        <w:spacing w:before="20" w:after="20"/>
        <w:ind w:left="170"/>
      </w:pPr>
      <w:r>
        <w:rPr>
          <w:rFonts w:ascii="Calibri" w:hAnsi="Calibri"/>
          <w:b/>
          <w:color w:val="4A6B25"/>
          <w:sz w:val="15"/>
        </w:rPr>
        <w:t xml:space="preserve">5. </w:t>
      </w:r>
      <w:r>
        <w:rPr>
          <w:rFonts w:ascii="Calibri" w:hAnsi="Calibri"/>
          <w:b w:val="0"/>
          <w:color w:val="3A4A28"/>
          <w:sz w:val="17"/>
        </w:rPr>
        <w:t>Broadcom Insider Trading — CEO Hock Tan Sold $50M, CLO Mark Brazeal Sold $9.7M, Director Harry You Bought $374K — Insider Monkey, Yahoo Finance, Finbold,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GuruFocus — AVGO Key Statistics: Stock Price $416.08, Forward P/E 21.97, PEG 0.56, D/E 74%, ROE 37.28%, Profit Margin 36.57%, Avg Volume 16.85M,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