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AVT</w:t>
      </w:r>
      <w:r>
        <w:rPr>
          <w:rFonts w:ascii="Calibri" w:hAnsi="Calibri"/>
          <w:b/>
          <w:color w:val="1A2010"/>
          <w:sz w:val="40"/>
        </w:rPr>
        <w:t xml:space="preserve">  Avnet, Inc.</w:t>
      </w:r>
    </w:p>
    <w:p>
      <w:pPr>
        <w:spacing w:after="120"/>
      </w:pPr>
      <w:r>
        <w:rPr>
          <w:rFonts w:ascii="Calibri" w:hAnsi="Calibri"/>
          <w:b/>
          <w:color w:val="6E8450"/>
          <w:sz w:val="18"/>
        </w:rPr>
        <w:t>GROWTH SLEEVE · 2026-08-07 · Inspire: 59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Electronics &amp; Computer Distribution · NASDAQ · United States</w:t>
      </w:r>
    </w:p>
    <w:p>
      <w:pPr>
        <w:spacing w:after="80"/>
      </w:pPr>
      <w:r>
        <w:rPr>
          <w:rFonts w:ascii="Calibri" w:hAnsi="Calibri"/>
          <w:b w:val="0"/>
          <w:color w:val="3A4A28"/>
          <w:sz w:val="20"/>
        </w:rPr>
        <w:t>Avnet distributes electronic components and technology solutions globally through its Electronic Components and Farnell segments, serving automotive, defense, aerospace, medical, telecom, and industrial markets across more than 140 countries. Founded in 1921, the company is headquartered in Phoenix, Arizona (moving to a new Tempe, Arizona campus in 2026) under CEO Phil Gallagher.</w:t>
      </w:r>
    </w:p>
    <w:p>
      <w:r>
        <w:rPr>
          <w:rFonts w:ascii="Calibri" w:hAnsi="Calibri"/>
          <w:b/>
          <w:color w:val="6E8450"/>
          <w:sz w:val="18"/>
        </w:rPr>
        <w:t>12,000 Employees · https://www.avnet.com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Avnet's core distribution model has not fundamentally changed, though record Q4 FY2026 revenue of $8.3B (+48% YoY) reflects the company riding, rather than driving, the AI-fueled semiconductor demand cycle, with growth described as 'moving beyond initial AI-concentrated growth' into broad-based demand [1]. AI Deployment (2/2): Avnet won a 2026 CIO 100 Award for an internally developed AI-driven sales-support project that automates high-volume customer email inquiries on order status, a specific, recognized, and quantified internal deployment [2]. Market Share (2/2): Avnet is one of the two largest global electronics distributors, and its stock has surged more than 90% year-to-date on AI-driven semiconductor demand with record quarterly revenue [2]. Product Pipeline (0/2): As a distributor rather than a manufacturer, no next-generation 'product' pipeline with a named launch date applies. R&amp;D Intensity (0/1): Distribution is not an R&amp;D-intensive business model; no above-industry-average spend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Avnet's public CSR language around 'positively impacting global communities' and enabling technology solutions is generic corporate messaging rather than a distinctive purpose statement. Community Impact (1/2): Avnet's corporate social responsibility program and published sustainability reporting reflect general corporate philanthropy, but no specific dollar-quantified community programs were found [4]. Employee Retention (0/2): Glassdoor reviews describe an 'old boys club' management culture and a new CEO lacking a 'calming leadership presence in times of turmoil,' alongside a Flexible Time Off policy change that removed vacation accrual/payout — net-negative culture signals [3]. Insider Buying (0/2): No insider transaction data was found in current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growth-stock weighting. Record Q4 FY2026 revenue of $8.3B (+48% YoY) drove FY2026 annual revenue to $27.6B (+24.5% YoY), and Q1 FY2027 guidance of $9.0-9.3B implies continued sequential growth [1]. D/E of 69% clears the 70% target, Forward P/E of 9.98 and Forward PEG of 0.23 both score at the maximum reflecting deep-value pricing relative to earnings growth, and profit margin of 1.21% and ROE of 6.67% remain structurally thin, typical of a low-margin distribution model. Free cash flow of -$354.5M reflects inventory build to meet demand. Liquidity floor cleared: ~1.1M avg volume x $96.80 = ~$107M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Avnet has endured for over a century as a distributor, but current evidence points to a largely finite orientation: a generic corporate mission, no clear examples of leadership sacrificing near-term results for long-term capability, and Glassdoor reviews describing an 'old boys club' culture and leadership uncertainty. The company's genuine strength is its steady, incremental adaptation of its distribution model over decades.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Avnet's public purpose language around 'connecting people and technology to solve global challenges' describes what a distributor does rather than articulating a resilient, idealistic vision that shapes strategic decisions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an 'old boys club' management dynamic, a new CEO lacking a calming presence 'in times of turmoil,' and a Flexible Time Off policy change that removed vacation payout on departure — concrete low-trust signals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Avnet framing competitors such as Arrow Electronics as sources of learning rather than targets to beat.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Avnet has adapted its mix toward design services and specialty distribution (e.g., Avnet Silica) over multiple technology cycles, but the core distribution business model has remained fundamentally unchanged for over a century [4].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earnings for long-term capability; the current record results are attributed to riding a cyclical AI-driven demand wave rather than a proactive strategic bet, and negative FCF reflects reactive inventory build rather than a principled long-term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Avnet is a direct beneficiary of the AI-driven semiconductor supercycle: record Q4 FY2026 revenue of $8.3B (+48% YoY) pushed full-year revenue to $27.6B (+24.5% YoY), with Q1 FY2027 guidance of $9.0-9.3B and adjusted EPS of $2.80-2.90 signaling continued momentum, and management noted growth is now 'broad-based' beyond initial AI-concentrated demand [1]. At a 9.98x forward P/E and 0.23 Forward PEG, the market is pricing in minimal credit for the earnings growth already underway, and a 44-year consecutive dividend-paying history with 12 years of consecutive increases underscores balance-sheet durability through cycles. Avnet's AI Resilience score is a standout (9/10) — the company distributes the physical semiconductor and memory components that AI infrastructure buildouts require, positioning it as an enabler rather than a target of AI disruption.</w:t>
      </w:r>
    </w:p>
    <w:p>
      <w:pPr>
        <w:spacing w:after="120"/>
      </w:pPr>
      <w:r>
        <w:rPr>
          <w:rFonts w:ascii="Calibri" w:hAnsi="Calibri"/>
          <w:b w:val="0"/>
          <w:color w:val="3A4A28"/>
          <w:sz w:val="20"/>
        </w:rPr>
        <w:t>The bear case centers on Avnet's structurally thin margins (1.21% profit margin, 6.67% ROE) and cyclicality — FY2026 annual revenue of $27.6B still sits below the FY2023 peak of $26.5B, and the current 48% YoY quarterly surge follows two prior fiscal years of double-digit revenue declines (FY2024: -10.5%, FY2025: -6.6%), illustrating how quickly the memory/semiconductor cycle can reverse [4]. Negative free cash flow (-$354.5M) reflects inventory build ahead of demand rather than committed capital investment, and Glassdoor reviews describing an 'old boys club' culture and a CEO lacking a calming presence 'in times of turmoil' — combined with a Just Cause and Trusting Teams score of essentially zero — suggest an organization better suited to riding cycles than shaping them. Long-term disintermediation risk from direct manufacturer-to-hyperscaler sales remains a structural overhang on the distribution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AI-driven memory and semiconductor demand sustaining the sequential growth implied by Q1 FY2027 guidance of $9.0-9.3B</w:t>
      </w:r>
    </w:p>
    <w:p>
      <w:pPr>
        <w:spacing w:before="40" w:after="40"/>
        <w:ind w:left="283"/>
      </w:pPr>
      <w:r>
        <w:rPr>
          <w:rFonts w:ascii="Calibri" w:hAnsi="Calibri"/>
          <w:b/>
          <w:color w:val="4A6B25"/>
          <w:sz w:val="20"/>
        </w:rPr>
        <w:t xml:space="preserve">2. </w:t>
      </w:r>
      <w:r>
        <w:rPr>
          <w:rFonts w:ascii="Calibri" w:hAnsi="Calibri"/>
          <w:b w:val="0"/>
          <w:color w:val="3A4A28"/>
          <w:sz w:val="20"/>
        </w:rPr>
        <w:t>Broadening of demand beyond initial AI-concentrated growth into other end markets, reducing single-theme revenue concentration risk</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on record volumes translating into margin expansion from the current 3.1% adjusted operating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Semiconductor/memory cycle reversal risk — FY2026's 24.5% annual growth follows two consecutive years of revenue decline (FY2024 and FY2025), illustrating the model's boom-bust cyclicality</w:t>
      </w:r>
    </w:p>
    <w:p>
      <w:pPr>
        <w:spacing w:before="40" w:after="40"/>
        <w:ind w:left="283"/>
      </w:pPr>
      <w:r>
        <w:rPr>
          <w:rFonts w:ascii="Calibri" w:hAnsi="Calibri"/>
          <w:b/>
          <w:color w:val="4A6B25"/>
          <w:sz w:val="20"/>
        </w:rPr>
        <w:t xml:space="preserve">2. </w:t>
      </w:r>
      <w:r>
        <w:rPr>
          <w:rFonts w:ascii="Calibri" w:hAnsi="Calibri"/>
          <w:b w:val="0"/>
          <w:color w:val="3A4A28"/>
          <w:sz w:val="20"/>
        </w:rPr>
        <w:t>Structurally thin margins (1.21% profit margin) leave minimal cushion against pricing pressure, tariffs, or a demand slowdown as memory-driven growth normalizes</w:t>
      </w:r>
    </w:p>
    <w:p>
      <w:pPr>
        <w:spacing w:before="40" w:after="40"/>
        <w:ind w:left="283"/>
      </w:pPr>
      <w:r>
        <w:rPr>
          <w:rFonts w:ascii="Calibri" w:hAnsi="Calibri"/>
          <w:b/>
          <w:color w:val="4A6B25"/>
          <w:sz w:val="20"/>
        </w:rPr>
        <w:t xml:space="preserve">3. </w:t>
      </w:r>
      <w:r>
        <w:rPr>
          <w:rFonts w:ascii="Calibri" w:hAnsi="Calibri"/>
          <w:b w:val="0"/>
          <w:color w:val="3A4A28"/>
          <w:sz w:val="20"/>
        </w:rPr>
        <w:t>Negative free cash flow (-$354.5M) from inventory build could reverse into working-capital drag if the current demand surge decelerates faster than inventory can be sold through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Avnet's physical logistics, credit/financing role, and deeply embedded manufacturer-OEM relationships in distributing semiconductors and components cannot be replaced by AI, and the company is a direct beneficiary of AI-infrastructure-driven memory and component demand rather than a target of disruption [1]. AI Opportunity (1/1): Record results are explicitly tied to 'AI-driven semiconductor demand' and 'memory-driven growth,' with quantified record revenue of $8.3B (+48% YoY) directly attributable to AI infrastructure buildout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Avnet Q4 FY2026 Earnings Release and Q1 FY2027 Guidance — ir.avnet.com,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Avnet Named 2026 CIO 100 Award Winner for AI Sales Support Project — news.avnet.com, CIO.com</w:t>
      </w:r>
    </w:p>
    <w:p>
      <w:pPr>
        <w:spacing w:before="20" w:after="20"/>
        <w:ind w:left="170"/>
      </w:pPr>
      <w:r>
        <w:rPr>
          <w:rFonts w:ascii="Calibri" w:hAnsi="Calibri"/>
          <w:b/>
          <w:color w:val="4A6B25"/>
          <w:sz w:val="15"/>
        </w:rPr>
        <w:t xml:space="preserve">3. </w:t>
      </w:r>
      <w:r>
        <w:rPr>
          <w:rFonts w:ascii="Calibri" w:hAnsi="Calibri"/>
          <w:b w:val="0"/>
          <w:color w:val="3A4A28"/>
          <w:sz w:val="17"/>
        </w:rPr>
        <w:t>Working at Avnet — Glassdoor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Avnet Corporate Social Responsibility and ESG Overview — my.avnet.com, Sustainalytics</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AVT Statistics and Financials,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