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AXTI</w:t>
      </w:r>
      <w:r>
        <w:rPr>
          <w:rFonts w:ascii="Calibri" w:hAnsi="Calibri"/>
          <w:b/>
          <w:color w:val="1A2010"/>
          <w:sz w:val="40"/>
        </w:rPr>
        <w:t xml:space="preserve">  AXT, Inc.</w:t>
      </w:r>
    </w:p>
    <w:p>
      <w:pPr>
        <w:spacing w:after="120"/>
      </w:pPr>
      <w:r>
        <w:rPr>
          <w:rFonts w:ascii="Calibri" w:hAnsi="Calibri"/>
          <w:b/>
          <w:color w:val="6E8450"/>
          <w:sz w:val="18"/>
        </w:rPr>
        <w:t>GROWTH SLEEVE · 2026-08-22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Materials — Compound Substrates · NASDAQ · United States</w:t>
      </w:r>
    </w:p>
    <w:p>
      <w:pPr>
        <w:spacing w:after="80"/>
      </w:pPr>
      <w:r>
        <w:rPr>
          <w:rFonts w:ascii="Calibri" w:hAnsi="Calibri"/>
          <w:b w:val="0"/>
          <w:color w:val="3A4A28"/>
          <w:sz w:val="20"/>
        </w:rPr>
        <w:t>AXT, Inc. designs, develops, manufactures, and distributes compound semiconductor substrates, primarily indium phosphide (InP), gallium arsenide (GaAs), and germanium (Ge) substrates. The company's InP substrates are critical components in optical transceivers used in AI data center interconnects, making AXTI a direct beneficiary of AI infrastructure buildout.</w:t>
      </w:r>
    </w:p>
    <w:p>
      <w:r>
        <w:rPr>
          <w:rFonts w:ascii="Calibri" w:hAnsi="Calibri"/>
          <w:b/>
          <w:color w:val="6E8450"/>
          <w:sz w:val="18"/>
        </w:rPr>
        <w:t>1,200 Employees · https://www.axt.com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AXTI has successfully repositioned from a GaAs-centric producer to an InP-dominant growth story, with InP revenue reaching a record $30.7M in Q2 2026 driven by AI data center demand — a strategic pivot that opened an entirely new high-growth revenue stream [1]. AI Deployment (1/2): AXTI's InP substrates are shipping to optical transceiver manufacturers serving AI data center interconnect applications, with quantifiable AI-driven revenue ($30.7M InP in Q2), though the products themselves are not AI-powered [1]. Market Share Leadership (1/2): AXTI is one of the top 3-4 global InP substrate manufacturers but is not the dominant leader; the company competes with Sumitomo Electric and JX Metals for market share. Product Pipeline (2/2): InP capacity expansion is ahead of schedule, with revenue opportunity expected to more than triple by end of 2026 and double again in 2027 — specific, quantified growth trajectory with customer commitments [1]. R&amp;D Intensity (0/1): No evidence of above-average R&amp;D spending relative to semiconductor materials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AXT's purpose is to provide high-quality compound semiconductor substrates — a functional business description interchangeable with any substrate manufacturer, lacking a transcendent purpose or distinctive vision. Community Impact (0/2): The corporate responsibility page mentions workforce diversity and inclusion commitments but cites no specific community investment programs, dollar amounts, or measurable charitable impact [5]. Employee Retention (2/2): Management average tenure of 11.9 years and board average tenure of 13.3 years are exceptional, with CEO Morris Young serving for 40 years since 1986 — among the longest CEO tenures in the semiconductor industry, strongly suggesting a purpose-driven culture that retains talent [4]. Insider Buying (0/2): CEO owns 4.98M shares (~7% of outstanding), indicating long-term alignment, but no evidence of recent net insider purchases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AXTI's infrastructure is dragged down by TTM metrics that reflect the 2023-2025 semiconductor substrate downcycle — negative ROE of -6.3% and negative profit margin of -15.3% — despite the Q2 2026 quarter showing non-GAAP gross margin of 45% and net income of $11.9M [1][3]. The extremely high forward P/E of 106.4x reflects the market pricing in a multi-year InP supercycle but scores zero on that metric. Positives include very low debt (D/E 23%), explosive 164% YoY revenue growth in Q2 2026, and a backlog exceeding $100M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AXT demonstrates mixed infinite game characteristics — CEO Morris Young's extraordinary 40-year tenure and the management team's 11.9-year average tenure are among the strongest trusting-teams indicators in the semiconductor industry. However, the company lacks an articulated Just Cause beyond commercial objectives, and strategic decisions are driven by market demand cycles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AXT's purpose centers on manufacturing high-quality compound semiconductor substrates — a functional description of what the company does, not a vision of a better future worth sacrificing for. The company does not articulate why compound semiconductors matter to humanity or what future they are building toward. This is a shallow cause that serves as a business positioning statement [5].</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Morris Young has led AXT for 40 years since 1986, one of the longest CEO tenures in the public semiconductor industry [4]. Management average tenure of 11.9 years and board average tenure of 13.3 years indicate exceptional organizational trust and stability — people stay because the culture works [4]. Recent board expansion with Tracy Liu and Jia-Bin Duh in mid-2026 shows deliberate governance strengthening rather than leadership churn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evidence of an infinite competitive mindset. AXT's communications frame competition in positional terms — capacity advantages, substrate quality metrics, and market positioning — without acknowledging what competitors like Sumitomo Electric or JX Metals do better. The competitive posture is about defending and growing market position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AXT has meaningfully shifted its product focus from gallium arsenide to indium phosphide over the past decade, responding to the structural shift in demand from telecom/wireless to AI data center interconnects [1]. This represents adaptation within the same industry vertical — compound semiconductor substrates — rather than a transformative pivot. The raw material joint ventures in China show some vertical integration evolution but remain within the same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Young maintained R&amp;D investment and InP capacity through the brutal 2023-2025 downcycle when AXTI was operating at a loss, positioning the company to capture the AI-driven InP demand surge when it arrived [1][3]. The decision to invest in capacity expansion ahead of confirmed demand — tripling InP capacity by end 2026 — demonstrates willingness to bet on a long-term thesis at short-term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AXT is the purest-play beneficiary of AI data center interconnect buildout in the substrate market, with record Q2 2026 InP revenue of $30.7M driving total revenue to an all-time high of $47.6M — up 164% YoY [1]. Non-GAAP gross margins surged to 45% as volume leverage kicked in, and the InP capacity expansion roadmap (tripling by end 2026, doubling again in 2027) is backed by a backlog exceeding $100M [1]. With AI data centers requiring exponentially more optical transceivers (each needing InP substrates), AXTI sits at the narrow bottleneck of a secular demand curve.</w:t>
      </w:r>
    </w:p>
    <w:p>
      <w:pPr>
        <w:spacing w:after="120"/>
      </w:pPr>
      <w:r>
        <w:rPr>
          <w:rFonts w:ascii="Calibri" w:hAnsi="Calibri"/>
          <w:b w:val="0"/>
          <w:color w:val="3A4A28"/>
          <w:sz w:val="20"/>
        </w:rPr>
        <w:t>The bear case is the forward P/E of 106x, which prices in flawless execution on a capacity expansion roadmap that has yet to generate consistent profitability — TTM net margin remains -15.3% and ROE is negative [3]. The company's revenue history is deeply cyclical ($130M+ in 2021, then collapsing to $65M by 2024), raising questions about whether the current InP supercycle is sustainable or another boom-bust peak [3]. China concentration risk is material — raw material joint ventures and some manufacturing are in China, creating tariff and geopolitical exposure. If AI capex cycles turn or InP capacity overshoots demand, the stock has 50%+ downside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InP capacity tripling by end 2026 and doubling again in 2027, with customer commitments backing the expansion and backlog exceeding $100M</w:t>
      </w:r>
    </w:p>
    <w:p>
      <w:pPr>
        <w:spacing w:before="40" w:after="40"/>
        <w:ind w:left="283"/>
      </w:pPr>
      <w:r>
        <w:rPr>
          <w:rFonts w:ascii="Calibri" w:hAnsi="Calibri"/>
          <w:b/>
          <w:color w:val="4A6B25"/>
          <w:sz w:val="20"/>
        </w:rPr>
        <w:t xml:space="preserve">2. </w:t>
      </w:r>
      <w:r>
        <w:rPr>
          <w:rFonts w:ascii="Calibri" w:hAnsi="Calibri"/>
          <w:b w:val="0"/>
          <w:color w:val="3A4A28"/>
          <w:sz w:val="20"/>
        </w:rPr>
        <w:t>AI data center interconnect demand is structurally increasing InP substrate consumption, with each new GPU cluster requiring more optical transceivers and thus more InP wafers</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29.9% in Q1 to 45.0% in Q2 2026 demonstrates volume leverage that should continue as InP capacity ramps, potentially driving sustained profitability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106x prices in perfect execution — any capacity expansion delay, customer pushout, or demand normalization could trigger a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Deep revenue cyclicality: revenue collapsed 50%+ from 2021 to 2024, and the current AI-driven InP boom could similarly overshoot if hyperscaler capex decelerates</w:t>
      </w:r>
    </w:p>
    <w:p>
      <w:pPr>
        <w:spacing w:before="40" w:after="40"/>
        <w:ind w:left="283"/>
      </w:pPr>
      <w:r>
        <w:rPr>
          <w:rFonts w:ascii="Calibri" w:hAnsi="Calibri"/>
          <w:b/>
          <w:color w:val="4A6B25"/>
          <w:sz w:val="20"/>
        </w:rPr>
        <w:t xml:space="preserve">3. </w:t>
      </w:r>
      <w:r>
        <w:rPr>
          <w:rFonts w:ascii="Calibri" w:hAnsi="Calibri"/>
          <w:b w:val="0"/>
          <w:color w:val="3A4A28"/>
          <w:sz w:val="20"/>
        </w:rPr>
        <w:t>China concentration risk in raw material joint ventures and some manufacturing operations creates tariff, export control, and geopolitical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AXTI manufactures indium phosphide substrates — the physical foundation for optical transceivers that carry data between GPUs in AI data centers. This is an irreplaceable physical product: AI cannot fabricate semiconductor wafers, and AI infrastructure expansion directly drives demand for InP substrates [1]. AI Risk Protection scores 8/9 (IMMUNE) — compound semiconductor substrate manufacturing involves crystal growth, wafer polishing, and epitaxy-ready surface preparation that are deeply physical processes with no AI substitution pathway. AI Opportunity scores 1/1 — Q2 2026 InP revenue of $30.7M was primarily driven by AI data center interconnect demand, and the capacity expansion roadmap is explicitly tied to AI-driven customer commitments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AXT Inc. Q2 FY2026 Earnings Release and Call Highlights, July 2026</w:t>
      </w:r>
    </w:p>
    <w:p>
      <w:pPr>
        <w:spacing w:before="20" w:after="20"/>
        <w:ind w:left="170"/>
      </w:pPr>
      <w:r>
        <w:rPr>
          <w:rFonts w:ascii="Calibri" w:hAnsi="Calibri"/>
          <w:b/>
          <w:color w:val="4A6B25"/>
          <w:sz w:val="15"/>
        </w:rPr>
        <w:t xml:space="preserve">2. </w:t>
      </w:r>
      <w:r>
        <w:rPr>
          <w:rFonts w:ascii="Calibri" w:hAnsi="Calibri"/>
          <w:b w:val="0"/>
          <w:color w:val="3A4A28"/>
          <w:sz w:val="17"/>
        </w:rPr>
        <w:t>AXT Inc. Q1 FY2026 Earnings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AXTI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AXTI management team and leadership analysis,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AXT Inc. — Corporate Responsibility and ESG page,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AXTI key statistics,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GuruFocus — AXTI forward PE ratio,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