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w:t>
      </w:r>
      <w:r>
        <w:rPr>
          <w:rFonts w:ascii="Calibri" w:hAnsi="Calibri"/>
          <w:b/>
          <w:color w:val="1A2010"/>
          <w:sz w:val="40"/>
        </w:rPr>
        <w:t xml:space="preserve">  Agilent Technologies, Inc.</w:t>
      </w:r>
    </w:p>
    <w:p>
      <w:pPr>
        <w:spacing w:after="120"/>
      </w:pPr>
      <w:r>
        <w:rPr>
          <w:rFonts w:ascii="Calibri" w:hAnsi="Calibri"/>
          <w:b/>
          <w:color w:val="6E8450"/>
          <w:sz w:val="18"/>
        </w:rPr>
        <w:t>GROWTH SLEEVE · 2026-08-27 · Inspire: -73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Diagnostics &amp; Research · NYSE · United States</w:t>
      </w:r>
    </w:p>
    <w:p>
      <w:pPr>
        <w:spacing w:after="80"/>
      </w:pPr>
      <w:r>
        <w:rPr>
          <w:rFonts w:ascii="Calibri" w:hAnsi="Calibri"/>
          <w:b w:val="0"/>
          <w:color w:val="3A4A28"/>
          <w:sz w:val="20"/>
        </w:rPr>
        <w:t>Agilent Technologies provides analytical instruments, software, services, and consumables for life sciences, diagnostics, and applied chemical markets worldwide. The company operates through three segments: Life Sciences and Applied Markets, Diagnostics and Genomics, and Agilent CrossLab. Under CEO Padraig McDonnell (since May 2024), Agilent is executing its Ignite transformation program, driving 210 basis points of operating margin expansion YoY in Q2 FY2026. The company reported TTM revenue of $7.23B with Q2 FY2026 revenue of $1.83B (+10% reported, +6.3% core) and raised fiscal year guidance following Q3 FY2026 results showing 7.3% core growth and 14% EPS growth.</w:t>
      </w:r>
    </w:p>
    <w:p>
      <w:r>
        <w:rPr>
          <w:rFonts w:ascii="Calibri" w:hAnsi="Calibri"/>
          <w:b/>
          <w:color w:val="6E8450"/>
          <w:sz w:val="18"/>
        </w:rPr>
        <w:t>18,000 Employees · https://www.agilent.com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Under the Ignite transformation program launched by CEO McDonnell, Agilent has executed a meaningful strategic pivot toward higher-margin recurring revenue, driving 210bps of operating margin expansion YoY [1]. The acquisition of Biocare Medical broadens Agilent's cancer diagnostics presence, and the opening of a China Innovation Center focused on digital, AI, and automation R&amp;D represents a new growth vector [2]. However, these are incremental extensions rather than category-redefining pivots. AI Deployment (1/2): Agilent announced a three-way collaboration with OpenAI and BCG in June 2026 to accelerate AI-driven scientific innovation across products, operations, and customer workflows [2]. McDonnell called AI a 'top priority,' but the partnership is early-stage with no shipped AI products or quantified savings reported yet. Market Share (1/2): Agilent holds strong positions in analytical instruments and life science tools, with particular strength in liquid chromatography and mass spectrometry, though it competes with Thermo Fisher, Waters, and Danaher without clear dominant share [1]. Product Pipeline (1/2): The Biocare acquisition, China Innovation Center, and AI collaboration with OpenAI provide some pipeline visibility, but Agilent's instrument refresh cadence is gradual and no specific next-gen product launches with revenue visibility have been announced [2]. R&amp;D Intensity (1/1): Agilent invests meaningfully in R&amp;D relative to the analytical instruments industry, supporting its Ignite transformation goals and new AI capabilities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Agilent's purpose centers on 'Bringing Great Science to Life,' which clearly identifies what the company does and connects to scientific advancement, but is not deeply distinctive from peers like Thermo Fisher or Danaher who articulate similar missions around enabling scientific discovery [3]. Community Impact (1/2): Agilent ranks #10 on Newsweek's List of America's Most Responsible Companies 2026, holds an MSCI AA ESG rating, has committed to net-zero GHG emissions by 2050, and two factories joined the World Economic Forum Lighthouse Network [3]. These are notable but represent standard corporate ESG practices rather than distinctive community investment programs. Employee Retention (0/2): No specific employee turnover, tenure, or retention data was identified in public disclosures. CEO McDonnell's tenure began only in May 2024, limiting assessment of leadership continuity effects. Insider Buying (0/2): No evidence of meaningful net insider buying by executives was identified in the research period.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Growth stock. Agilent demonstrates strong financial fundamentals with D/E of 50% well below the 70% target, ROE of 21.33% exceeding the 15% target, and revenue growth YoY of 10% at the target threshold [4]. Profit margin of 19.55% narrowly misses the 20% target. Forward P/E of 20.07 is essentially at the 20x target. The primary drag is the PEG ratio of 2.01, which scores 0.495 on a 0-1 scale with 2x weight, reflecting moderate growth expectations relative to valuation. The 5-year revenue CAGR of approximately 5% falls below the 10% target, reflecting the FY2023-2024 biotech funding downturn that compressed instrument demand [1]. The stock easily clears the liquidity floor with average daily volume of ~992K shares at $153 ($151.8M daily turnover).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Agilent plays a largely infinite game as a company built on enabling scientific discovery, with a stable purpose that has endured through multiple leadership transitions since its 1999 spin-off from Hewlett-Packard. The Ignite transformation under McDonnell shows willingness to invest in long-term capability. However, the company lacks the deeply articulated Just Cause and transformative flexibility that distinguish truly infinite players -- its evolution has been incremental rather than revolutionary, and the CEO transition in 2024 has not yet been tested through adversity.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Agilent's purpose of 'Bringing Great Science to Life' connects the company to the larger goal of scientific advancement and quality of life improvement. The Ignite transformation aligns strategic decisions with this purpose, and the company's focus on cancer diagnostics (Biocare acquisition) and laboratory innovation demonstrates genuine intentionality [2]. However, the cause has not been tested through crisis under current leadership, and the mission is not deeply distinctive from life science peers. Sinek would note this is a genuine cause that is partially lived rather than the competitive advantage itself.</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Agilent maintains a stable organization recognized externally for responsible practices (#10 on Newsweek's Most Responsible Companies) [3]. The company's Lighthouse Factory recognition from the World Economic Forum suggests employee engagement in manufacturing innovation. However, no specific data on employee turnover, tenure, or cultural practices that demonstrate exceptional trust was identified. The recent CEO transition from McMullen to McDonnell in 2024 was managed smoothly, suggesting organizational maturity.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Agilent's decision to collaborate with OpenAI and BCG rather than attempt to build AI capabilities entirely in-house demonstrates a learning-oriented competitive mindset [2]. CEO McDonnell's co-chairing of the World Economic Forum's Annual Meeting of New Champions 2026 reflects engagement with broader ecosystem improvement. The company competes with Thermo Fisher, Danaher, and Waters on product excellence rather than predatory tactics.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Agilent itself was born from HP's existential flexibility (the 1999 spin-off), and has since evolved from a pure instruments company to a software-enabled platform with diagnostics and services revenue streams. The Ignite transformation program and AI investment represent incremental business model evolution [1]. However, no single strategic decision represents the kind of transformative reinvention Sinek looks for -- Agilent has adapted continuously rather than making a dramatic pivot.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McDonnell launched the Ignite transformation program prioritizing margin expansion and AI investment, accepting near-term transformation costs for long-term capability [1]. The OpenAI partnership and China Innovation Center represent forward-looking bets. However, the program is early (2 years in) and has not yet required the kind of costly sacrifice -- investing through a downturn, walking away from revenue -- that Sinek considers true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Agilent at 20x forward earnings offers a quality compounder recovering from the biotech funding trough, with the Ignite transformation program driving meaningful margin expansion (210bps YoY in Q2 FY2026) while core revenue growth reaccelerates to 6-7% [1]. The company's $7.23B TTM revenue, 21.33% ROE, and conservative 50% D/E ratio reflect a durable business with strong capital efficiency. The OpenAI/BCG AI partnership and Biocare cancer diagnostics acquisition position Agilent at the intersection of laboratory automation and precision medicine -- two secular growth drivers [2]. The consumables and services mix (CrossLab segment) provides recurring revenue stability, while instrument demand should benefit from pharmaceutical R&amp;D recovery and CHIPS Act-driven analytical testing needs.</w:t>
      </w:r>
    </w:p>
    <w:p>
      <w:pPr>
        <w:spacing w:after="120"/>
      </w:pPr>
      <w:r>
        <w:rPr>
          <w:rFonts w:ascii="Calibri" w:hAnsi="Calibri"/>
          <w:b w:val="0"/>
          <w:color w:val="3A4A28"/>
          <w:sz w:val="20"/>
        </w:rPr>
        <w:t>The bear case centers on modest growth and valuation risk. Agilent's 5-year revenue CAGR of only ~5% reflects the structural challenge of selling capital equipment to cyclical end markets -- the biotech funding downturn of 2023-2024 compressed instrument demand for two years [1]. At 20x forward earnings with a PEG of 2.01, the stock prices in a growth recovery that remains dependent on pharma R&amp;D budgets and Chinese laboratory spending, both of which face macro headwinds. CEO McDonnell's tenure of only two years means the Ignite transformation is unproven through a full business cycle. The OpenAI partnership is pre-revenue and competitive -- Thermo Fisher and Danaher are pursuing similar AI strategies. The Inspire Impact Score of -73 (MISALIGNED) due to Embryonic Stem Cells and In Vitro Fertilization involvement may limit allocation for faith-based investors despite strong ESG performance (MSCI AA rating)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Ignite transformation program driving 210bps operating margin expansion YoY, with management raising FY2026 guidance after Q3 results showing 7.3% core revenue growth and 14% EPS growth -- further margin improvement could re-rate the stock toward a higher-quality multiple [1]</w:t>
      </w:r>
    </w:p>
    <w:p>
      <w:pPr>
        <w:spacing w:before="40" w:after="40"/>
        <w:ind w:left="283"/>
      </w:pPr>
      <w:r>
        <w:rPr>
          <w:rFonts w:ascii="Calibri" w:hAnsi="Calibri"/>
          <w:b/>
          <w:color w:val="4A6B25"/>
          <w:sz w:val="20"/>
        </w:rPr>
        <w:t xml:space="preserve">2. </w:t>
      </w:r>
      <w:r>
        <w:rPr>
          <w:rFonts w:ascii="Calibri" w:hAnsi="Calibri"/>
          <w:b w:val="0"/>
          <w:color w:val="3A4A28"/>
          <w:sz w:val="20"/>
        </w:rPr>
        <w:t>OpenAI/BCG AI collaboration announced June 2026 targeting AI-driven products, operations, and customer workflows -- early AI product launches could differentiate Agilent from Thermo Fisher and Danaher in the $50B+ analytical instruments market [2]</w:t>
      </w:r>
    </w:p>
    <w:p>
      <w:pPr>
        <w:spacing w:before="40" w:after="40"/>
        <w:ind w:left="283"/>
      </w:pPr>
      <w:r>
        <w:rPr>
          <w:rFonts w:ascii="Calibri" w:hAnsi="Calibri"/>
          <w:b/>
          <w:color w:val="4A6B25"/>
          <w:sz w:val="20"/>
        </w:rPr>
        <w:t xml:space="preserve">3. </w:t>
      </w:r>
      <w:r>
        <w:rPr>
          <w:rFonts w:ascii="Calibri" w:hAnsi="Calibri"/>
          <w:b w:val="0"/>
          <w:color w:val="3A4A28"/>
          <w:sz w:val="20"/>
        </w:rPr>
        <w:t>Pharmaceutical R&amp;D spending recovery and biotech funding normalization should drive renewed instrument demand, with Agilent's core business already showing sequential improvement from 6.3% core growth in Q2 to 7.3% in Q3 FY2026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Dependence on cyclical end markets (pharma/biotech capital equipment spending) means a renewed downturn in biotech funding or Chinese laboratory investment could stall the revenue recovery that underpins the current 20x forward valuation [1]</w:t>
      </w:r>
    </w:p>
    <w:p>
      <w:pPr>
        <w:spacing w:before="40" w:after="40"/>
        <w:ind w:left="283"/>
      </w:pPr>
      <w:r>
        <w:rPr>
          <w:rFonts w:ascii="Calibri" w:hAnsi="Calibri"/>
          <w:b/>
          <w:color w:val="4A6B25"/>
          <w:sz w:val="20"/>
        </w:rPr>
        <w:t xml:space="preserve">2. </w:t>
      </w:r>
      <w:r>
        <w:rPr>
          <w:rFonts w:ascii="Calibri" w:hAnsi="Calibri"/>
          <w:b w:val="0"/>
          <w:color w:val="3A4A28"/>
          <w:sz w:val="20"/>
        </w:rPr>
        <w:t>CEO McDonnell has only two years of tenure and has not navigated a downturn -- the Ignite transformation program is unproven through a full cycle, and execution risk remains elevated during a leadership transition period [2]</w:t>
      </w:r>
    </w:p>
    <w:p>
      <w:pPr>
        <w:spacing w:before="40" w:after="40"/>
        <w:ind w:left="283"/>
      </w:pPr>
      <w:r>
        <w:rPr>
          <w:rFonts w:ascii="Calibri" w:hAnsi="Calibri"/>
          <w:b/>
          <w:color w:val="4A6B25"/>
          <w:sz w:val="20"/>
        </w:rPr>
        <w:t xml:space="preserve">3. </w:t>
      </w:r>
      <w:r>
        <w:rPr>
          <w:rFonts w:ascii="Calibri" w:hAnsi="Calibri"/>
          <w:b w:val="0"/>
          <w:color w:val="3A4A28"/>
          <w:sz w:val="20"/>
        </w:rPr>
        <w:t>The OpenAI/BCG partnership is early-stage and competitive; if AI-driven laboratory automation reduces total instrument demand rather than enhancing it, Agilent's hardware-centric revenue model could face structural pressure from software substitution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Agilent's core business is anchored in physical analytical instruments -- liquid chromatographs, mass spectrometers, gas chromatographs, and cell analysis systems -- that AI structurally cannot replace [1]. Laboratory measurements require physical sample processing and precision hardware that no software can substitute. Regulatory requirements in pharmaceutical and clinical diagnostics further protect the business from AI disruption. However, AI-driven automation of laboratory workflows could reduce the total number of instruments needed per lab or shift value from hardware to software, creating moderate long-term exposure. The OpenAI/BCG partnership positions Agilent as an AI enabler rather than a victim, integrating intelligence into its instrument platform [2]. AI Opportunity (0/1): While the OpenAI collaboration was announced in June 2026, no AI-specific revenue has been reported. The partnership is pre-revenue and focused on building capability rather than shipping products to customers.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-73</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Embryonic Stem Cells </w:t>
      </w:r>
      <w:r>
        <w:rPr>
          <w:rFonts w:ascii="Calibri" w:hAnsi="Calibri"/>
          <w:b w:val="0"/>
          <w:color w:val="9DAF88"/>
          <w:sz w:val="17"/>
        </w:rPr>
        <w:t xml:space="preserve">  ·  </w:t>
      </w:r>
      <w:r>
        <w:rPr>
          <w:rFonts w:ascii="Calibri" w:hAnsi="Calibri"/>
          <w:b/>
          <w:color w:val="DC2626"/>
          <w:sz w:val="17"/>
        </w:rPr>
        <w:t xml:space="preserve"> In Vitro Fertilization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Agilent Technologies Q2 and Q3 FY2026 Earnings Results -- Revenue $1.83B (+10%), Core Growth 6.3%-7.3%, EPS $1.56 (+14%), Ignite Margin Expansion, May-August 2026</w:t>
      </w:r>
    </w:p>
    <w:p>
      <w:pPr>
        <w:spacing w:before="20" w:after="20"/>
        <w:ind w:left="170"/>
      </w:pPr>
      <w:r>
        <w:rPr>
          <w:rFonts w:ascii="Calibri" w:hAnsi="Calibri"/>
          <w:b/>
          <w:color w:val="4A6B25"/>
          <w:sz w:val="15"/>
        </w:rPr>
        <w:t xml:space="preserve">2. </w:t>
      </w:r>
      <w:r>
        <w:rPr>
          <w:rFonts w:ascii="Calibri" w:hAnsi="Calibri"/>
          <w:b w:val="0"/>
          <w:color w:val="3A4A28"/>
          <w:sz w:val="17"/>
        </w:rPr>
        <w:t>Agilent OpenAI/BCG AI Collaboration, Biocare Acquisition, China Innovation Center, CEO McDonnell Leadership -- BusinessWire, Agilent Investor Relations, June 2026</w:t>
      </w:r>
    </w:p>
    <w:p>
      <w:pPr>
        <w:spacing w:before="20" w:after="20"/>
        <w:ind w:left="170"/>
      </w:pPr>
      <w:r>
        <w:rPr>
          <w:rFonts w:ascii="Calibri" w:hAnsi="Calibri"/>
          <w:b/>
          <w:color w:val="4A6B25"/>
          <w:sz w:val="15"/>
        </w:rPr>
        <w:t xml:space="preserve">3. </w:t>
      </w:r>
      <w:r>
        <w:rPr>
          <w:rFonts w:ascii="Calibri" w:hAnsi="Calibri"/>
          <w:b w:val="0"/>
          <w:color w:val="3A4A28"/>
          <w:sz w:val="17"/>
        </w:rPr>
        <w:t>Agilent Technologies ESG Performance -- MSCI AA Rating, Newsweek #10 Most Responsible Companies, Net-Zero 2050 Commitment, WEF Lighthouse Network -- KnowESG, Newsweek,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MacroTrends -- A Key Statistics: Forward P/E 20.07, ROE 21.33%, D/E 50%, Profit Margin 19.55%, PEG 2.01,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