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w:t>
      </w:r>
      <w:r>
        <w:rPr>
          <w:rFonts w:ascii="Calibri" w:hAnsi="Calibri"/>
          <w:b/>
          <w:color w:val="1A2010"/>
          <w:sz w:val="40"/>
        </w:rPr>
        <w:t xml:space="preserve">  The Boeing Company</w:t>
      </w:r>
    </w:p>
    <w:p>
      <w:pPr>
        <w:spacing w:after="120"/>
      </w:pPr>
      <w:r>
        <w:rPr>
          <w:rFonts w:ascii="Calibri" w:hAnsi="Calibri"/>
          <w:b/>
          <w:color w:val="6E8450"/>
          <w:sz w:val="18"/>
        </w:rPr>
        <w:t>GROWTH SLEEVE · 2026-08-22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The Boeing Company is the world's largest aerospace company and a leading manufacturer of commercial jetliners, defense, space, and security systems, and provider of aftermarket support services. Boeing operates through three segments: Commercial Airplanes, Defense Space &amp; Security, and Global Services, with a record backlog exceeding $715 billion.</w:t>
      </w:r>
    </w:p>
    <w:p>
      <w:r>
        <w:rPr>
          <w:rFonts w:ascii="Calibri" w:hAnsi="Calibri"/>
          <w:b/>
          <w:color w:val="6E8450"/>
          <w:sz w:val="18"/>
        </w:rPr>
        <w:t>150,000 Employees · https://www.boeing.com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Boeing has not successfully launched a meaningful new product in the last five years — the 737-7, 737-10, and 777X are all years behind schedule, Starliner faced repeated failures, and the company has been consumed by quality remediation rather than innovation [1][3]. AI Deployment (0/2): No evidence of specific AI-powered products shipping to customers or quantified internal AI-driven efficiency gains, though the defense segment includes autonomous systems research. Market Share Leadership (1/2): Boeing remains one of two global commercial aircraft duopolists with Airbus, but has been steadily losing market share — Airbus delivered 766 aircraft in 2025 vs. Boeing's ~650, and new order share has tilted toward Airbus in recent years [1]. Product Pipeline (1/2): The 737-7 has completed test flights with amended type certificate expected soon, the 737-10 recently completed its final test flight, and both target first deliveries in 2027 — specific products with approximate timelines but repeatedly delayed [1]. R&amp;D Intensity (1/1): Boeing's R&amp;D spending of ~$3.4B annually is above average for aerospace/defense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Boeing's mission to 'connect, protect, explore and inspire the world through aerospace innovation' is specific and thoughtful — it connects the company's work to human progress in aviation, defense, and space exploration, and reflects genuine intentionality about aerospace's role in civilization [4]. Community Impact (1/2): Boeing's charitable giving includes the Boeing Global Engagement portfolio and the employee Community Fund, supporting STEM education and community development programs, though recent financial distress has limited new commitments. Employee Retention (0/2): Poor retention environment — the 2024 IAM machinists' strike, whistleblower retaliation allegations (Ed Pierson, Sam Salehpour), five CEOs in 20 years, and 17,000+ planned layoffs signal a low-trust culture [6][7]. Insider Buying (0/2): No evidence of meaningful insider buying; CEO Ortberg was appointed in August 2024 and has not yet established an insider buying track record.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infrastructure is dragged down by extreme leverage (D/E ~751%) driven by $54.1B in total debt accumulated through years of losses, share buybacks, and production halts [3][8]. The forward P/E of 726.6x reflects the market's expectation that Boeing will remain near breakeven on a GAAP basis due to ongoing charges, including a $280M VC-25B charge in Q2 2026 [1]. Revenue growth of ~10% YoY is solid as deliveries ramp, and Q2 2026 generated positive free cash flow of $631M — a milestone for the turnaround [1]. The 2.59% net profit margin is barely profitable. ROE appears elevated at 173.5% due to the artificially small equity base after years of accumulated losses and buybacks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Boeing's 100+ year history building aircraft that connect the world suggests infinite game DNA, but the last decade has been a case study in finite thinking — prioritizing share buybacks over engineering investment, quarterly EPS over product safety, and executive compensation over workforce trust. CEO Ortberg's back-to-basics turnaround is an attempt to restore infinite game principles, but the cultural damage from the McDonnell Douglas merger mentality remains deep.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purpose — connecting, protecting, exploring, and inspiring the world through aerospace innovation — qualifies as a genuine Just Cause that has been partially lived for over a century [4]. The company's role in democratizing air travel, enabling space exploration (Apollo, ISS), and defending the free world is historically validated. However, the cause has been severely undermined by the 2018-2024 period of safety failures, financial engineering, and cultural decay. The Just Cause exists and is real but is being rebuilt rather than actively driving strategy [6][7].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Boeing's trust environment is deeply damaged — whistleblower retaliation against Ed Pierson and Sam Salehpour, the 2024 IAM machinists' strike over working conditions and compensation, five CEOs in 20 years creating leadership instability, and FAA findings of non-compliance in manufacturing quality control [6][7]. CEO Ortberg acknowledged Boeing's culture is 'very insular' with teams that 'don't work with each other as well as we could,' and warned the culture shift would be 'brutal to leadership' [5]. This is a low-trust organization in active recovery.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Ortberg, Boeing's competitive language has shifted from defeating Airbus to fixing itself — the CEO's focus on internal quality, engineering-first culture, and operational discipline implicitly acknowledges that Airbus's strengths (execution consistency, production discipline) reveal Boeing's weaknesses [5]. The company is using Airbus as a benchmark for self-improvement rather than a target to destroy, reflecting an emerging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Boeing has shown remarkable rigidity — clinging to the 60-year-old 737 platform through successive derivative variants rather than investing in a clean-sheet narrow-body aircraft, even as the 737 MAX crisis demonstrated the limits of incremental iteration. The company has not made a transformative strategic pivot in decades; the 787 Dreamliner (launched 2004) was the last genuinely new aircraft platform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Ortberg's willingness to declare Boeing's culture 'insular' and warn that change would be 'brutal to leadership' shows nascent courage [5]. The decision to absorb a $280M VC-25B charge rather than paper over cost overruns signals honesty about program realities [1]. However, Boeing spent 2014-2024 doing the opposite — optimizing for quarterly EPS through $43B in share buybacks, cost-cutting engineering resources, and opposing safety improvements. One year of honesty does not erase a decade of cowardice.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Boeing is in the early innings of a multi-year turnaround under CEO Ortberg, with Q2 2026 delivering 171 aircraft (highest since 2018), generating positive free cash flow of $631M, and growing revenue 8% YoY to $24.6B [1]. The record $715B backlog provides unprecedented revenue visibility, the FAA has authorized Boeing to resume issuing airworthiness certificates for all 737 MAX and 787 variants, and the 737-7 and 737-10 certifications are imminent with first deliveries expected in 2027 [1]. Boeing remains one of only two companies on Earth capable of building commercial aircraft at scale — a duopoly moat that no competitor can realistically breach.</w:t>
      </w:r>
    </w:p>
    <w:p>
      <w:pPr>
        <w:spacing w:after="120"/>
      </w:pPr>
      <w:r>
        <w:rPr>
          <w:rFonts w:ascii="Calibri" w:hAnsi="Calibri"/>
          <w:b w:val="0"/>
          <w:color w:val="3A4A28"/>
          <w:sz w:val="20"/>
        </w:rPr>
        <w:t>The bear case is formidable: $54.1B in total debt creates existential financial risk if the recovery stalls, and the forward P/E of 726x reflects how far Boeing is from normalized earnings [8]. The core loss of $0.76/share in Q2 2026 was worse than the $0.34 consensus estimate, driven by a $280M VC-25B charge that illustrates how defense fixed-price contracts continue to hemorrhage cash [1]. Boeing's safety culture remains under FAA scrutiny, whistleblower allegations are unresolved, and the Netflix documentary on whistleblower claims has renewed public skepticism [6][7]. With Airbus consistently outexecuting on deliveries and orders, Boeing risks becoming the permanent #2 in a duopoly where scale matters.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737-7 amended type certificate expected imminently, followed by 737-10 certification, unlocking two new delivery streams with combined backlog of 1,000+ aircraft and first deliveries in 2027</w:t>
      </w:r>
    </w:p>
    <w:p>
      <w:pPr>
        <w:spacing w:before="40" w:after="40"/>
        <w:ind w:left="283"/>
      </w:pPr>
      <w:r>
        <w:rPr>
          <w:rFonts w:ascii="Calibri" w:hAnsi="Calibri"/>
          <w:b/>
          <w:color w:val="4A6B25"/>
          <w:sz w:val="20"/>
        </w:rPr>
        <w:t xml:space="preserve">2. </w:t>
      </w:r>
      <w:r>
        <w:rPr>
          <w:rFonts w:ascii="Calibri" w:hAnsi="Calibri"/>
          <w:b w:val="0"/>
          <w:color w:val="3A4A28"/>
          <w:sz w:val="20"/>
        </w:rPr>
        <w:t>Production rate increases toward 38/month on the 737 MAX line would dramatically improve per-unit fixed cost absorption and drive margin recovery toward historical 10-15% operating margins</w:t>
      </w:r>
    </w:p>
    <w:p>
      <w:pPr>
        <w:spacing w:before="40" w:after="40"/>
        <w:ind w:left="283"/>
      </w:pPr>
      <w:r>
        <w:rPr>
          <w:rFonts w:ascii="Calibri" w:hAnsi="Calibri"/>
          <w:b/>
          <w:color w:val="4A6B25"/>
          <w:sz w:val="20"/>
        </w:rPr>
        <w:t xml:space="preserve">3. </w:t>
      </w:r>
      <w:r>
        <w:rPr>
          <w:rFonts w:ascii="Calibri" w:hAnsi="Calibri"/>
          <w:b w:val="0"/>
          <w:color w:val="3A4A28"/>
          <w:sz w:val="20"/>
        </w:rPr>
        <w:t>Record $715B backlog provides 7+ years of revenue visibility, supporting the case for sustainable free cash flow generation to deleverage the $54.1B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$54.1B with near-zero profitability creates existential balance sheet risk — any production disruption, labor action, or demand slowdown could trigger a credit downgrade or dilutive capital raise</w:t>
      </w:r>
    </w:p>
    <w:p>
      <w:pPr>
        <w:spacing w:before="40" w:after="40"/>
        <w:ind w:left="283"/>
      </w:pPr>
      <w:r>
        <w:rPr>
          <w:rFonts w:ascii="Calibri" w:hAnsi="Calibri"/>
          <w:b/>
          <w:color w:val="4A6B25"/>
          <w:sz w:val="20"/>
        </w:rPr>
        <w:t xml:space="preserve">2. </w:t>
      </w:r>
      <w:r>
        <w:rPr>
          <w:rFonts w:ascii="Calibri" w:hAnsi="Calibri"/>
          <w:b w:val="0"/>
          <w:color w:val="3A4A28"/>
          <w:sz w:val="20"/>
        </w:rPr>
        <w:t>Ongoing FAA quality scrutiny, unresolved whistleblower allegations, and potential for additional safety-related production slowdowns could derail the delivery ramp timeline</w:t>
      </w:r>
    </w:p>
    <w:p>
      <w:pPr>
        <w:spacing w:before="40" w:after="40"/>
        <w:ind w:left="283"/>
      </w:pPr>
      <w:r>
        <w:rPr>
          <w:rFonts w:ascii="Calibri" w:hAnsi="Calibri"/>
          <w:b/>
          <w:color w:val="4A6B25"/>
          <w:sz w:val="20"/>
        </w:rPr>
        <w:t xml:space="preserve">3. </w:t>
      </w:r>
      <w:r>
        <w:rPr>
          <w:rFonts w:ascii="Calibri" w:hAnsi="Calibri"/>
          <w:b w:val="0"/>
          <w:color w:val="3A4A28"/>
          <w:sz w:val="20"/>
        </w:rPr>
        <w:t>Defense fixed-price contract losses continue to accumulate — the $280M VC-25B charge in Q2 2026 follows billions in prior charges on programs including the KC-46 tanker and T-7A trainer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Aircraft manufacturing is structurally immune to AI disruption — designing, certifying, building, and maintaining commercial and military aircraft requires massive physical infrastructure, thousands of highly skilled workers, decades of regulatory relationships, and FAA/DOD certification processes that AI cannot replicate or bypass [1]. AI actually increases demand for Boeing's products through military autonomous systems (MQ-25 Stingray, Loyal Wingman) and satellite communications platforms. AI Risk Protection scores 8/9 (IMMUNE). AI Opportunity scores 1/1 — Boeing's defense segment generates quantifiable revenue from autonomous and AI-enabled military systems including the MQ-25 autonomous refueling drone program for the U.S. Navy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Boeing Q2 FY2026 Earnings Release and Call Highlights, July 2026</w:t>
      </w:r>
    </w:p>
    <w:p>
      <w:pPr>
        <w:spacing w:before="20" w:after="20"/>
        <w:ind w:left="170"/>
      </w:pPr>
      <w:r>
        <w:rPr>
          <w:rFonts w:ascii="Calibri" w:hAnsi="Calibri"/>
          <w:b/>
          <w:color w:val="4A6B25"/>
          <w:sz w:val="15"/>
        </w:rPr>
        <w:t xml:space="preserve">2. </w:t>
      </w:r>
      <w:r>
        <w:rPr>
          <w:rFonts w:ascii="Calibri" w:hAnsi="Calibri"/>
          <w:b w:val="0"/>
          <w:color w:val="3A4A28"/>
          <w:sz w:val="17"/>
        </w:rPr>
        <w:t>Boeing Q1 FY2026 Earnings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CNBC — Boeing Q2 2026 Earnings Coverage, July 2026</w:t>
      </w:r>
    </w:p>
    <w:p>
      <w:pPr>
        <w:spacing w:before="20" w:after="20"/>
        <w:ind w:left="170"/>
      </w:pPr>
      <w:r>
        <w:rPr>
          <w:rFonts w:ascii="Calibri" w:hAnsi="Calibri"/>
          <w:b/>
          <w:color w:val="4A6B25"/>
          <w:sz w:val="15"/>
        </w:rPr>
        <w:t xml:space="preserve">4. </w:t>
      </w:r>
      <w:r>
        <w:rPr>
          <w:rFonts w:ascii="Calibri" w:hAnsi="Calibri"/>
          <w:b w:val="0"/>
          <w:color w:val="3A4A28"/>
          <w:sz w:val="17"/>
        </w:rPr>
        <w:t>Boeing — Corporate mission and leadership biography page,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Fortune — 'How Kelly Ortberg is Rebuilding Boeing from the Inside Out,' June 2026</w:t>
      </w:r>
    </w:p>
    <w:p>
      <w:pPr>
        <w:spacing w:before="20" w:after="20"/>
        <w:ind w:left="170"/>
      </w:pPr>
      <w:r>
        <w:rPr>
          <w:rFonts w:ascii="Calibri" w:hAnsi="Calibri"/>
          <w:b/>
          <w:color w:val="4A6B25"/>
          <w:sz w:val="15"/>
        </w:rPr>
        <w:t xml:space="preserve">6. </w:t>
      </w:r>
      <w:r>
        <w:rPr>
          <w:rFonts w:ascii="Calibri" w:hAnsi="Calibri"/>
          <w:b w:val="0"/>
          <w:color w:val="3A4A28"/>
          <w:sz w:val="17"/>
        </w:rPr>
        <w:t>The CPA Journal — 'The Story of Boeing's Failed Corporate Culture,' August 2025</w:t>
      </w:r>
    </w:p>
    <w:p>
      <w:pPr>
        <w:spacing w:before="20" w:after="20"/>
        <w:ind w:left="170"/>
      </w:pPr>
      <w:r>
        <w:rPr>
          <w:rFonts w:ascii="Calibri" w:hAnsi="Calibri"/>
          <w:b/>
          <w:color w:val="4A6B25"/>
          <w:sz w:val="15"/>
        </w:rPr>
        <w:t xml:space="preserve">7. </w:t>
      </w:r>
      <w:r>
        <w:rPr>
          <w:rFonts w:ascii="Calibri" w:hAnsi="Calibri"/>
          <w:b w:val="0"/>
          <w:color w:val="3A4A28"/>
          <w:sz w:val="17"/>
        </w:rPr>
        <w:t>U.S. DOT FAA — 'FAA Oversight of Boeing's Broken Safety Culture,'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 BA statistics and valuation,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Grafa — 'Boeing Reports $24.6B Q2 Revenue and Record $715B Backlog,'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